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91D29" w14:textId="77777777" w:rsidR="00B964D2" w:rsidRDefault="00B964D2">
      <w:pPr>
        <w:adjustRightInd w:val="0"/>
        <w:snapToGrid w:val="0"/>
        <w:jc w:val="center"/>
        <w:rPr>
          <w:rFonts w:ascii="彩虹粗仿宋" w:eastAsia="彩虹粗仿宋" w:hAnsi="宋体" w:cs="Arial"/>
          <w:sz w:val="24"/>
        </w:rPr>
      </w:pPr>
    </w:p>
    <w:p w14:paraId="7AF0961E" w14:textId="77777777" w:rsidR="00B964D2" w:rsidRDefault="00B964D2">
      <w:pPr>
        <w:adjustRightInd w:val="0"/>
        <w:snapToGrid w:val="0"/>
        <w:jc w:val="center"/>
        <w:rPr>
          <w:rFonts w:ascii="彩虹粗仿宋" w:eastAsia="彩虹粗仿宋" w:hAnsi="宋体" w:cs="Arial"/>
          <w:sz w:val="24"/>
        </w:rPr>
      </w:pPr>
    </w:p>
    <w:p w14:paraId="7ABBF023" w14:textId="77777777" w:rsidR="00B964D2" w:rsidRDefault="00B964D2">
      <w:pPr>
        <w:adjustRightInd w:val="0"/>
        <w:snapToGrid w:val="0"/>
        <w:jc w:val="center"/>
        <w:rPr>
          <w:rFonts w:ascii="彩虹粗仿宋" w:eastAsia="彩虹粗仿宋" w:hAnsi="宋体" w:cs="Arial"/>
          <w:sz w:val="24"/>
        </w:rPr>
      </w:pPr>
    </w:p>
    <w:p w14:paraId="16F856A5" w14:textId="77777777" w:rsidR="00B964D2" w:rsidRDefault="00B964D2">
      <w:pPr>
        <w:adjustRightInd w:val="0"/>
        <w:snapToGrid w:val="0"/>
        <w:jc w:val="center"/>
        <w:rPr>
          <w:rFonts w:ascii="彩虹粗仿宋" w:eastAsia="彩虹粗仿宋" w:hAnsi="宋体" w:cs="Arial"/>
          <w:sz w:val="24"/>
        </w:rPr>
      </w:pPr>
    </w:p>
    <w:p w14:paraId="5020A905" w14:textId="77777777" w:rsidR="00B964D2" w:rsidRDefault="00B964D2">
      <w:pPr>
        <w:adjustRightInd w:val="0"/>
        <w:snapToGrid w:val="0"/>
        <w:jc w:val="center"/>
        <w:rPr>
          <w:rFonts w:ascii="彩虹粗仿宋" w:eastAsia="彩虹粗仿宋" w:hAnsi="宋体" w:cs="Arial"/>
          <w:sz w:val="24"/>
        </w:rPr>
      </w:pPr>
    </w:p>
    <w:p w14:paraId="1000FDAF" w14:textId="77777777" w:rsidR="00B964D2" w:rsidRDefault="00B964D2">
      <w:pPr>
        <w:adjustRightInd w:val="0"/>
        <w:snapToGrid w:val="0"/>
        <w:jc w:val="center"/>
        <w:rPr>
          <w:rFonts w:ascii="彩虹粗仿宋" w:eastAsia="彩虹粗仿宋" w:hAnsi="宋体" w:cs="Arial"/>
          <w:sz w:val="24"/>
        </w:rPr>
      </w:pPr>
    </w:p>
    <w:p w14:paraId="1110E663" w14:textId="77777777" w:rsidR="00B964D2" w:rsidRDefault="00B964D2">
      <w:pPr>
        <w:adjustRightInd w:val="0"/>
        <w:snapToGrid w:val="0"/>
        <w:jc w:val="center"/>
        <w:rPr>
          <w:rFonts w:ascii="彩虹粗仿宋" w:eastAsia="彩虹粗仿宋" w:hAnsi="宋体" w:cs="Arial"/>
          <w:sz w:val="24"/>
        </w:rPr>
      </w:pPr>
    </w:p>
    <w:p w14:paraId="50632633" w14:textId="77777777" w:rsidR="00B964D2" w:rsidRDefault="00B964D2">
      <w:pPr>
        <w:adjustRightInd w:val="0"/>
        <w:snapToGrid w:val="0"/>
        <w:jc w:val="center"/>
        <w:rPr>
          <w:rFonts w:ascii="彩虹粗仿宋" w:eastAsia="彩虹粗仿宋" w:hAnsi="宋体" w:cs="Arial"/>
          <w:sz w:val="24"/>
        </w:rPr>
      </w:pPr>
    </w:p>
    <w:p w14:paraId="06BD6240" w14:textId="77777777" w:rsidR="00B964D2" w:rsidRDefault="00B964D2">
      <w:pPr>
        <w:adjustRightInd w:val="0"/>
        <w:snapToGrid w:val="0"/>
        <w:jc w:val="center"/>
        <w:rPr>
          <w:rFonts w:ascii="彩虹粗仿宋" w:eastAsia="彩虹粗仿宋" w:hAnsi="宋体" w:cs="Arial"/>
          <w:sz w:val="24"/>
        </w:rPr>
      </w:pPr>
    </w:p>
    <w:p w14:paraId="2A6EDE0F" w14:textId="77777777" w:rsidR="00B964D2" w:rsidRDefault="00B964D2">
      <w:pPr>
        <w:adjustRightInd w:val="0"/>
        <w:snapToGrid w:val="0"/>
        <w:jc w:val="center"/>
        <w:rPr>
          <w:rFonts w:ascii="彩虹粗仿宋" w:eastAsia="彩虹粗仿宋" w:hAnsi="宋体" w:cs="Arial"/>
          <w:sz w:val="24"/>
        </w:rPr>
      </w:pPr>
    </w:p>
    <w:p w14:paraId="7A49B0C0" w14:textId="77777777" w:rsidR="00B964D2" w:rsidRDefault="00B964D2">
      <w:pPr>
        <w:adjustRightInd w:val="0"/>
        <w:snapToGrid w:val="0"/>
        <w:jc w:val="center"/>
        <w:rPr>
          <w:rFonts w:ascii="彩虹粗仿宋" w:eastAsia="彩虹粗仿宋" w:hAnsi="宋体" w:cs="Arial"/>
          <w:sz w:val="24"/>
        </w:rPr>
      </w:pPr>
    </w:p>
    <w:p w14:paraId="1BB4979A" w14:textId="77777777" w:rsidR="00B964D2" w:rsidRDefault="00BE1CEF">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国泰鼎利债券型证券投资基金</w:t>
      </w:r>
    </w:p>
    <w:p w14:paraId="780EA4A4" w14:textId="77777777" w:rsidR="00B964D2" w:rsidRDefault="00BE1CEF">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64CF212F" w14:textId="77777777" w:rsidR="00B964D2" w:rsidRDefault="00B964D2">
      <w:pPr>
        <w:adjustRightInd w:val="0"/>
        <w:snapToGrid w:val="0"/>
        <w:jc w:val="center"/>
        <w:outlineLvl w:val="0"/>
        <w:rPr>
          <w:rFonts w:ascii="彩虹粗仿宋" w:eastAsia="彩虹粗仿宋" w:hAnsi="宋体" w:cs="Arial"/>
          <w:sz w:val="24"/>
        </w:rPr>
      </w:pPr>
    </w:p>
    <w:p w14:paraId="793900C8" w14:textId="77777777" w:rsidR="00B964D2" w:rsidRDefault="00B964D2">
      <w:pPr>
        <w:adjustRightInd w:val="0"/>
        <w:snapToGrid w:val="0"/>
        <w:jc w:val="center"/>
        <w:outlineLvl w:val="0"/>
        <w:rPr>
          <w:rFonts w:ascii="彩虹粗仿宋" w:eastAsia="彩虹粗仿宋" w:hAnsi="宋体" w:cs="Arial"/>
          <w:sz w:val="24"/>
        </w:rPr>
      </w:pPr>
    </w:p>
    <w:p w14:paraId="1ADFEA66" w14:textId="77777777" w:rsidR="00B964D2" w:rsidRDefault="00B964D2">
      <w:pPr>
        <w:adjustRightInd w:val="0"/>
        <w:snapToGrid w:val="0"/>
        <w:jc w:val="center"/>
        <w:outlineLvl w:val="0"/>
        <w:rPr>
          <w:rFonts w:ascii="彩虹粗仿宋" w:eastAsia="彩虹粗仿宋" w:hAnsi="宋体" w:cs="Arial"/>
          <w:sz w:val="24"/>
        </w:rPr>
      </w:pPr>
    </w:p>
    <w:p w14:paraId="1B301AB5" w14:textId="77777777" w:rsidR="00B964D2" w:rsidRDefault="00B964D2">
      <w:pPr>
        <w:adjustRightInd w:val="0"/>
        <w:snapToGrid w:val="0"/>
        <w:jc w:val="center"/>
        <w:outlineLvl w:val="0"/>
        <w:rPr>
          <w:rFonts w:ascii="彩虹粗仿宋" w:eastAsia="彩虹粗仿宋" w:hAnsi="宋体" w:cs="Arial"/>
          <w:sz w:val="24"/>
        </w:rPr>
      </w:pPr>
    </w:p>
    <w:p w14:paraId="1F7D4874" w14:textId="77777777" w:rsidR="00B964D2" w:rsidRDefault="00B964D2">
      <w:pPr>
        <w:adjustRightInd w:val="0"/>
        <w:snapToGrid w:val="0"/>
        <w:jc w:val="center"/>
        <w:outlineLvl w:val="0"/>
        <w:rPr>
          <w:rFonts w:ascii="彩虹粗仿宋" w:eastAsia="彩虹粗仿宋" w:hAnsi="宋体" w:cs="Arial"/>
          <w:sz w:val="24"/>
        </w:rPr>
      </w:pPr>
    </w:p>
    <w:p w14:paraId="2451548C" w14:textId="77777777" w:rsidR="00B964D2" w:rsidRDefault="00B964D2">
      <w:pPr>
        <w:adjustRightInd w:val="0"/>
        <w:snapToGrid w:val="0"/>
        <w:jc w:val="center"/>
        <w:outlineLvl w:val="0"/>
        <w:rPr>
          <w:rFonts w:ascii="彩虹粗仿宋" w:eastAsia="彩虹粗仿宋" w:hAnsi="宋体" w:cs="Arial"/>
          <w:sz w:val="24"/>
        </w:rPr>
      </w:pPr>
    </w:p>
    <w:p w14:paraId="5F25407F" w14:textId="77777777" w:rsidR="00B964D2" w:rsidRDefault="00B964D2">
      <w:pPr>
        <w:adjustRightInd w:val="0"/>
        <w:snapToGrid w:val="0"/>
        <w:jc w:val="center"/>
        <w:outlineLvl w:val="0"/>
        <w:rPr>
          <w:rFonts w:ascii="彩虹粗仿宋" w:eastAsia="彩虹粗仿宋" w:hAnsi="宋体" w:cs="Arial"/>
          <w:sz w:val="24"/>
        </w:rPr>
      </w:pPr>
    </w:p>
    <w:p w14:paraId="33282679" w14:textId="77777777" w:rsidR="00B964D2" w:rsidRDefault="00BE1CEF">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基金管理人：国泰基金管理有限公司</w:t>
      </w:r>
    </w:p>
    <w:p w14:paraId="2658BDBC" w14:textId="77777777" w:rsidR="00B964D2" w:rsidRDefault="00BE1CEF">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基金托管人：中国建设银行股份有限公司</w:t>
      </w:r>
    </w:p>
    <w:p w14:paraId="35739D9B" w14:textId="77777777" w:rsidR="00B964D2" w:rsidRDefault="00B964D2">
      <w:pPr>
        <w:adjustRightInd w:val="0"/>
        <w:snapToGrid w:val="0"/>
        <w:jc w:val="center"/>
        <w:outlineLvl w:val="0"/>
        <w:rPr>
          <w:rFonts w:ascii="彩虹粗仿宋" w:eastAsia="彩虹粗仿宋" w:hAnsi="宋体" w:cs="Arial"/>
          <w:sz w:val="24"/>
        </w:rPr>
      </w:pPr>
    </w:p>
    <w:p w14:paraId="2F7201A6" w14:textId="77777777" w:rsidR="00B964D2" w:rsidRDefault="00B964D2">
      <w:pPr>
        <w:adjustRightInd w:val="0"/>
        <w:snapToGrid w:val="0"/>
        <w:jc w:val="center"/>
        <w:outlineLvl w:val="0"/>
        <w:rPr>
          <w:rFonts w:ascii="彩虹粗仿宋" w:eastAsia="彩虹粗仿宋" w:hAnsi="宋体" w:cs="Arial"/>
          <w:sz w:val="24"/>
        </w:rPr>
      </w:pPr>
    </w:p>
    <w:p w14:paraId="43B61BF0" w14:textId="77777777" w:rsidR="00B964D2" w:rsidRDefault="00B964D2">
      <w:pPr>
        <w:adjustRightInd w:val="0"/>
        <w:snapToGrid w:val="0"/>
        <w:jc w:val="center"/>
        <w:outlineLvl w:val="0"/>
        <w:rPr>
          <w:rFonts w:ascii="彩虹粗仿宋" w:eastAsia="彩虹粗仿宋" w:hAnsi="宋体" w:cs="Arial"/>
          <w:sz w:val="24"/>
        </w:rPr>
      </w:pPr>
    </w:p>
    <w:p w14:paraId="3C5AAFD6" w14:textId="77777777" w:rsidR="00B964D2" w:rsidRDefault="00B964D2">
      <w:pPr>
        <w:adjustRightInd w:val="0"/>
        <w:snapToGrid w:val="0"/>
        <w:jc w:val="center"/>
        <w:outlineLvl w:val="0"/>
        <w:rPr>
          <w:rFonts w:ascii="彩虹粗仿宋" w:eastAsia="彩虹粗仿宋" w:hAnsi="宋体" w:cs="Arial"/>
          <w:sz w:val="24"/>
        </w:rPr>
      </w:pPr>
    </w:p>
    <w:p w14:paraId="7E1882EC" w14:textId="77777777" w:rsidR="00B964D2" w:rsidRDefault="00BE1CEF">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二零二六年一月</w:t>
      </w:r>
    </w:p>
    <w:p w14:paraId="0D63A44E" w14:textId="77777777" w:rsidR="00B964D2" w:rsidRDefault="00B964D2">
      <w:pPr>
        <w:adjustRightInd w:val="0"/>
        <w:snapToGrid w:val="0"/>
        <w:jc w:val="center"/>
        <w:rPr>
          <w:rFonts w:ascii="彩虹粗仿宋" w:eastAsia="彩虹粗仿宋" w:hAnsi="宋体" w:cs="Arial"/>
          <w:bCs/>
          <w:sz w:val="24"/>
        </w:rPr>
        <w:sectPr w:rsidR="00B964D2">
          <w:footerReference w:type="even" r:id="rId7"/>
          <w:pgSz w:w="11906" w:h="16838"/>
          <w:pgMar w:top="1418" w:right="1701" w:bottom="1418" w:left="1701" w:header="851" w:footer="992" w:gutter="0"/>
          <w:cols w:space="425"/>
          <w:docGrid w:type="lines" w:linePitch="312"/>
        </w:sectPr>
      </w:pPr>
    </w:p>
    <w:p w14:paraId="42A2EE85" w14:textId="77777777" w:rsidR="00B964D2" w:rsidRDefault="00B964D2">
      <w:pPr>
        <w:adjustRightInd w:val="0"/>
        <w:snapToGrid w:val="0"/>
        <w:rPr>
          <w:rFonts w:ascii="彩虹粗仿宋" w:eastAsia="彩虹粗仿宋" w:hAnsi="宋体" w:cs="Arial"/>
          <w:bCs/>
          <w:sz w:val="24"/>
        </w:rPr>
      </w:pPr>
    </w:p>
    <w:p w14:paraId="7FA54844" w14:textId="77777777" w:rsidR="00B964D2" w:rsidRDefault="00BE1CEF">
      <w:pPr>
        <w:jc w:val="center"/>
        <w:rPr>
          <w:rFonts w:ascii="彩虹粗仿宋" w:eastAsia="彩虹粗仿宋"/>
          <w:b/>
          <w:bCs/>
          <w:sz w:val="30"/>
        </w:rPr>
      </w:pPr>
      <w:r>
        <w:rPr>
          <w:rFonts w:ascii="彩虹粗仿宋" w:eastAsia="彩虹粗仿宋" w:hint="eastAsia"/>
          <w:b/>
          <w:bCs/>
          <w:sz w:val="30"/>
        </w:rPr>
        <w:t>目    录</w:t>
      </w:r>
    </w:p>
    <w:p w14:paraId="02D264C0" w14:textId="69525038" w:rsidR="00B964D2" w:rsidRDefault="00BE1CEF">
      <w:pPr>
        <w:pStyle w:val="22"/>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1"/>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DC55C3">
          <w:rPr>
            <w:rFonts w:ascii="彩虹粗仿宋" w:eastAsia="彩虹粗仿宋" w:hAnsi="宋体"/>
            <w:noProof/>
            <w:sz w:val="28"/>
          </w:rPr>
          <w:t>2</w:t>
        </w:r>
        <w:r>
          <w:rPr>
            <w:rFonts w:ascii="彩虹粗仿宋" w:eastAsia="彩虹粗仿宋" w:hAnsi="宋体" w:hint="eastAsia"/>
            <w:noProof/>
            <w:sz w:val="28"/>
          </w:rPr>
          <w:fldChar w:fldCharType="end"/>
        </w:r>
      </w:hyperlink>
    </w:p>
    <w:p w14:paraId="5C6FB998" w14:textId="76D4C474" w:rsidR="00B964D2" w:rsidRDefault="00407638">
      <w:pPr>
        <w:pStyle w:val="22"/>
        <w:tabs>
          <w:tab w:val="right" w:leader="dot" w:pos="8494"/>
        </w:tabs>
        <w:rPr>
          <w:rFonts w:ascii="彩虹粗仿宋" w:eastAsia="彩虹粗仿宋" w:hAnsi="宋体"/>
          <w:noProof/>
          <w:sz w:val="28"/>
        </w:rPr>
      </w:pPr>
      <w:hyperlink w:anchor="_Toc124325886" w:history="1">
        <w:r w:rsidR="00BE1CEF">
          <w:rPr>
            <w:rStyle w:val="af1"/>
            <w:rFonts w:ascii="彩虹粗仿宋" w:eastAsia="彩虹粗仿宋" w:hAnsi="宋体" w:hint="eastAsia"/>
            <w:noProof/>
            <w:sz w:val="28"/>
            <w:szCs w:val="32"/>
          </w:rPr>
          <w:t>二、基金托管协议的依据、目的和原则</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_Toc124325886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3</w:t>
        </w:r>
        <w:r w:rsidR="00BE1CEF">
          <w:rPr>
            <w:rFonts w:ascii="彩虹粗仿宋" w:eastAsia="彩虹粗仿宋" w:hAnsi="宋体" w:hint="eastAsia"/>
            <w:noProof/>
            <w:sz w:val="28"/>
          </w:rPr>
          <w:fldChar w:fldCharType="end"/>
        </w:r>
      </w:hyperlink>
    </w:p>
    <w:p w14:paraId="452FDDA1" w14:textId="36256B28" w:rsidR="00B964D2" w:rsidRDefault="00407638">
      <w:pPr>
        <w:pStyle w:val="22"/>
        <w:tabs>
          <w:tab w:val="right" w:leader="dot" w:pos="8494"/>
        </w:tabs>
        <w:rPr>
          <w:rFonts w:ascii="彩虹粗仿宋" w:eastAsia="彩虹粗仿宋" w:hAnsi="宋体"/>
          <w:noProof/>
          <w:sz w:val="28"/>
        </w:rPr>
      </w:pPr>
      <w:hyperlink w:anchor="_Toc124325887" w:history="1">
        <w:r w:rsidR="00BE1CEF">
          <w:rPr>
            <w:rStyle w:val="af1"/>
            <w:rFonts w:ascii="彩虹粗仿宋" w:eastAsia="彩虹粗仿宋" w:hAnsi="宋体" w:hint="eastAsia"/>
            <w:noProof/>
            <w:sz w:val="28"/>
            <w:szCs w:val="32"/>
          </w:rPr>
          <w:t>三、基金托管人对基金管理人的业务监督和核查</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_Toc124325887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3</w:t>
        </w:r>
        <w:r w:rsidR="00BE1CEF">
          <w:rPr>
            <w:rFonts w:ascii="彩虹粗仿宋" w:eastAsia="彩虹粗仿宋" w:hAnsi="宋体" w:hint="eastAsia"/>
            <w:noProof/>
            <w:sz w:val="28"/>
          </w:rPr>
          <w:fldChar w:fldCharType="end"/>
        </w:r>
      </w:hyperlink>
    </w:p>
    <w:p w14:paraId="58563910" w14:textId="1B83ECFE" w:rsidR="00B964D2" w:rsidRDefault="00407638">
      <w:pPr>
        <w:pStyle w:val="22"/>
        <w:tabs>
          <w:tab w:val="right" w:leader="dot" w:pos="8494"/>
        </w:tabs>
        <w:rPr>
          <w:rFonts w:ascii="彩虹粗仿宋" w:eastAsia="彩虹粗仿宋" w:hAnsi="宋体"/>
          <w:noProof/>
          <w:sz w:val="28"/>
        </w:rPr>
      </w:pPr>
      <w:hyperlink w:anchor="_Toc124325888" w:history="1">
        <w:r w:rsidR="00BE1CEF">
          <w:rPr>
            <w:rStyle w:val="af1"/>
            <w:rFonts w:ascii="彩虹粗仿宋" w:eastAsia="彩虹粗仿宋" w:hAnsi="宋体" w:hint="eastAsia"/>
            <w:noProof/>
            <w:sz w:val="28"/>
            <w:szCs w:val="32"/>
          </w:rPr>
          <w:t>四、基金管理人对基金托管人的业务核查</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_Toc124325888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7</w:t>
        </w:r>
        <w:r w:rsidR="00BE1CEF">
          <w:rPr>
            <w:rFonts w:ascii="彩虹粗仿宋" w:eastAsia="彩虹粗仿宋" w:hAnsi="宋体" w:hint="eastAsia"/>
            <w:noProof/>
            <w:sz w:val="28"/>
          </w:rPr>
          <w:fldChar w:fldCharType="end"/>
        </w:r>
      </w:hyperlink>
    </w:p>
    <w:p w14:paraId="7ED7F0E7" w14:textId="13245F3E" w:rsidR="00B964D2" w:rsidRDefault="00407638">
      <w:pPr>
        <w:pStyle w:val="22"/>
        <w:tabs>
          <w:tab w:val="right" w:leader="dot" w:pos="8494"/>
        </w:tabs>
        <w:rPr>
          <w:rFonts w:ascii="彩虹粗仿宋" w:eastAsia="彩虹粗仿宋" w:hAnsi="宋体"/>
          <w:noProof/>
          <w:sz w:val="28"/>
        </w:rPr>
      </w:pPr>
      <w:hyperlink w:anchor="_Toc124325889" w:history="1">
        <w:r w:rsidR="00BE1CEF">
          <w:rPr>
            <w:rStyle w:val="af1"/>
            <w:rFonts w:ascii="彩虹粗仿宋" w:eastAsia="彩虹粗仿宋" w:hAnsi="宋体" w:hint="eastAsia"/>
            <w:noProof/>
            <w:sz w:val="28"/>
            <w:szCs w:val="32"/>
          </w:rPr>
          <w:t>五、基金财产的保管</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_Toc124325889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8</w:t>
        </w:r>
        <w:r w:rsidR="00BE1CEF">
          <w:rPr>
            <w:rFonts w:ascii="彩虹粗仿宋" w:eastAsia="彩虹粗仿宋" w:hAnsi="宋体" w:hint="eastAsia"/>
            <w:noProof/>
            <w:sz w:val="28"/>
          </w:rPr>
          <w:fldChar w:fldCharType="end"/>
        </w:r>
      </w:hyperlink>
    </w:p>
    <w:p w14:paraId="3D41C2CE" w14:textId="12C1C808" w:rsidR="00B964D2" w:rsidRDefault="00407638">
      <w:pPr>
        <w:pStyle w:val="22"/>
        <w:tabs>
          <w:tab w:val="right" w:leader="dot" w:pos="8494"/>
        </w:tabs>
        <w:rPr>
          <w:rFonts w:ascii="彩虹粗仿宋" w:eastAsia="彩虹粗仿宋" w:hAnsi="宋体"/>
          <w:noProof/>
          <w:sz w:val="28"/>
        </w:rPr>
      </w:pPr>
      <w:hyperlink w:anchor="_Toc124325890" w:history="1">
        <w:r w:rsidR="00BE1CEF">
          <w:rPr>
            <w:rStyle w:val="af1"/>
            <w:rFonts w:ascii="彩虹粗仿宋" w:eastAsia="彩虹粗仿宋" w:hAnsi="宋体" w:hint="eastAsia"/>
            <w:noProof/>
            <w:sz w:val="28"/>
            <w:szCs w:val="32"/>
          </w:rPr>
          <w:t>六、指令的发送、确认及执行</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_Toc124325890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10</w:t>
        </w:r>
        <w:r w:rsidR="00BE1CEF">
          <w:rPr>
            <w:rFonts w:ascii="彩虹粗仿宋" w:eastAsia="彩虹粗仿宋" w:hAnsi="宋体" w:hint="eastAsia"/>
            <w:noProof/>
            <w:sz w:val="28"/>
          </w:rPr>
          <w:fldChar w:fldCharType="end"/>
        </w:r>
      </w:hyperlink>
    </w:p>
    <w:p w14:paraId="1EDB4077" w14:textId="29FDE054" w:rsidR="00B964D2" w:rsidRDefault="00407638">
      <w:pPr>
        <w:pStyle w:val="22"/>
        <w:tabs>
          <w:tab w:val="right" w:leader="dot" w:pos="8494"/>
        </w:tabs>
        <w:rPr>
          <w:rFonts w:ascii="彩虹粗仿宋" w:eastAsia="彩虹粗仿宋" w:hAnsi="宋体"/>
          <w:noProof/>
          <w:sz w:val="28"/>
        </w:rPr>
      </w:pPr>
      <w:hyperlink w:anchor="_Toc124325891" w:history="1">
        <w:r w:rsidR="00BE1CEF">
          <w:rPr>
            <w:rStyle w:val="af1"/>
            <w:rFonts w:ascii="彩虹粗仿宋" w:eastAsia="彩虹粗仿宋" w:hAnsi="宋体" w:hint="eastAsia"/>
            <w:noProof/>
            <w:sz w:val="28"/>
            <w:szCs w:val="32"/>
          </w:rPr>
          <w:t>七、交易及清算交收安排</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_Toc124325891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12</w:t>
        </w:r>
        <w:r w:rsidR="00BE1CEF">
          <w:rPr>
            <w:rFonts w:ascii="彩虹粗仿宋" w:eastAsia="彩虹粗仿宋" w:hAnsi="宋体" w:hint="eastAsia"/>
            <w:noProof/>
            <w:sz w:val="28"/>
          </w:rPr>
          <w:fldChar w:fldCharType="end"/>
        </w:r>
      </w:hyperlink>
    </w:p>
    <w:p w14:paraId="5C44D0B9" w14:textId="065C8EC4" w:rsidR="00B964D2" w:rsidRDefault="00407638">
      <w:pPr>
        <w:pStyle w:val="22"/>
        <w:tabs>
          <w:tab w:val="right" w:leader="dot" w:pos="8494"/>
        </w:tabs>
        <w:rPr>
          <w:rFonts w:ascii="彩虹粗仿宋" w:eastAsia="彩虹粗仿宋" w:hAnsi="宋体"/>
          <w:noProof/>
          <w:sz w:val="28"/>
        </w:rPr>
      </w:pPr>
      <w:hyperlink w:anchor="_Toc124325892" w:history="1">
        <w:r w:rsidR="00BE1CEF">
          <w:rPr>
            <w:rStyle w:val="af1"/>
            <w:rFonts w:ascii="彩虹粗仿宋" w:eastAsia="彩虹粗仿宋" w:hAnsi="宋体" w:hint="eastAsia"/>
            <w:noProof/>
            <w:sz w:val="28"/>
            <w:szCs w:val="32"/>
          </w:rPr>
          <w:t>八、基金资产净值计算和会计核算</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_Toc124325892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16</w:t>
        </w:r>
        <w:r w:rsidR="00BE1CEF">
          <w:rPr>
            <w:rFonts w:ascii="彩虹粗仿宋" w:eastAsia="彩虹粗仿宋" w:hAnsi="宋体" w:hint="eastAsia"/>
            <w:noProof/>
            <w:sz w:val="28"/>
          </w:rPr>
          <w:fldChar w:fldCharType="end"/>
        </w:r>
      </w:hyperlink>
    </w:p>
    <w:p w14:paraId="57082B96" w14:textId="2BAB9FB6" w:rsidR="00B964D2" w:rsidRDefault="00407638">
      <w:pPr>
        <w:pStyle w:val="22"/>
        <w:tabs>
          <w:tab w:val="right" w:leader="dot" w:pos="8494"/>
        </w:tabs>
        <w:rPr>
          <w:rFonts w:ascii="彩虹粗仿宋" w:eastAsia="彩虹粗仿宋" w:hAnsi="宋体"/>
          <w:noProof/>
          <w:sz w:val="28"/>
        </w:rPr>
      </w:pPr>
      <w:hyperlink w:anchor="_Toc124325893" w:history="1">
        <w:r w:rsidR="00BE1CEF">
          <w:rPr>
            <w:rStyle w:val="af1"/>
            <w:rFonts w:ascii="彩虹粗仿宋" w:eastAsia="彩虹粗仿宋" w:hAnsi="宋体" w:hint="eastAsia"/>
            <w:noProof/>
            <w:sz w:val="28"/>
            <w:szCs w:val="32"/>
          </w:rPr>
          <w:t>九、基金收益分配</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_Toc124325893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21</w:t>
        </w:r>
        <w:r w:rsidR="00BE1CEF">
          <w:rPr>
            <w:rFonts w:ascii="彩虹粗仿宋" w:eastAsia="彩虹粗仿宋" w:hAnsi="宋体" w:hint="eastAsia"/>
            <w:noProof/>
            <w:sz w:val="28"/>
          </w:rPr>
          <w:fldChar w:fldCharType="end"/>
        </w:r>
      </w:hyperlink>
    </w:p>
    <w:p w14:paraId="6F7D0649" w14:textId="3F2ECA52" w:rsidR="00B964D2" w:rsidRDefault="00407638">
      <w:pPr>
        <w:pStyle w:val="22"/>
        <w:tabs>
          <w:tab w:val="right" w:leader="dot" w:pos="8494"/>
        </w:tabs>
        <w:rPr>
          <w:rFonts w:ascii="彩虹粗仿宋" w:eastAsia="彩虹粗仿宋" w:hAnsi="宋体"/>
          <w:noProof/>
          <w:sz w:val="28"/>
        </w:rPr>
      </w:pPr>
      <w:hyperlink w:anchor="_Toc124325894" w:history="1">
        <w:r w:rsidR="00BE1CEF">
          <w:rPr>
            <w:rStyle w:val="af1"/>
            <w:rFonts w:ascii="彩虹粗仿宋" w:eastAsia="彩虹粗仿宋" w:hAnsi="宋体" w:hint="eastAsia"/>
            <w:noProof/>
            <w:sz w:val="28"/>
            <w:szCs w:val="32"/>
          </w:rPr>
          <w:t>十、基金信息披露</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_Toc124325894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22</w:t>
        </w:r>
        <w:r w:rsidR="00BE1CEF">
          <w:rPr>
            <w:rFonts w:ascii="彩虹粗仿宋" w:eastAsia="彩虹粗仿宋" w:hAnsi="宋体" w:hint="eastAsia"/>
            <w:noProof/>
            <w:sz w:val="28"/>
          </w:rPr>
          <w:fldChar w:fldCharType="end"/>
        </w:r>
      </w:hyperlink>
    </w:p>
    <w:p w14:paraId="2A6714D5" w14:textId="5B87C192" w:rsidR="00B964D2" w:rsidRDefault="00407638">
      <w:pPr>
        <w:pStyle w:val="22"/>
        <w:tabs>
          <w:tab w:val="right" w:leader="dot" w:pos="8494"/>
        </w:tabs>
        <w:rPr>
          <w:rFonts w:ascii="彩虹粗仿宋" w:eastAsia="彩虹粗仿宋" w:hAnsi="宋体"/>
          <w:noProof/>
          <w:sz w:val="28"/>
        </w:rPr>
      </w:pPr>
      <w:hyperlink w:anchor="_Toc124325895" w:history="1">
        <w:r w:rsidR="00BE1CEF">
          <w:rPr>
            <w:rStyle w:val="af1"/>
            <w:rFonts w:ascii="彩虹粗仿宋" w:eastAsia="彩虹粗仿宋" w:hAnsi="宋体" w:hint="eastAsia"/>
            <w:noProof/>
            <w:sz w:val="28"/>
            <w:szCs w:val="32"/>
          </w:rPr>
          <w:t>十一、基金费用</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_Toc124325895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23</w:t>
        </w:r>
        <w:r w:rsidR="00BE1CEF">
          <w:rPr>
            <w:rFonts w:ascii="彩虹粗仿宋" w:eastAsia="彩虹粗仿宋" w:hAnsi="宋体" w:hint="eastAsia"/>
            <w:noProof/>
            <w:sz w:val="28"/>
          </w:rPr>
          <w:fldChar w:fldCharType="end"/>
        </w:r>
      </w:hyperlink>
    </w:p>
    <w:p w14:paraId="4F970206" w14:textId="6C7F7020" w:rsidR="00B964D2" w:rsidRDefault="00407638">
      <w:pPr>
        <w:pStyle w:val="22"/>
        <w:tabs>
          <w:tab w:val="right" w:leader="dot" w:pos="8494"/>
        </w:tabs>
        <w:rPr>
          <w:rFonts w:ascii="彩虹粗仿宋" w:eastAsia="彩虹粗仿宋" w:hAnsi="宋体"/>
          <w:noProof/>
          <w:sz w:val="28"/>
        </w:rPr>
      </w:pPr>
      <w:hyperlink w:anchor="_Toc124325896" w:history="1">
        <w:r w:rsidR="00BE1CEF">
          <w:rPr>
            <w:rStyle w:val="af1"/>
            <w:rFonts w:ascii="彩虹粗仿宋" w:eastAsia="彩虹粗仿宋" w:hAnsi="宋体" w:hint="eastAsia"/>
            <w:noProof/>
            <w:sz w:val="28"/>
            <w:szCs w:val="32"/>
          </w:rPr>
          <w:t>十二、基金份额持有人名册的保管</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_Toc124325896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25</w:t>
        </w:r>
        <w:r w:rsidR="00BE1CEF">
          <w:rPr>
            <w:rFonts w:ascii="彩虹粗仿宋" w:eastAsia="彩虹粗仿宋" w:hAnsi="宋体" w:hint="eastAsia"/>
            <w:noProof/>
            <w:sz w:val="28"/>
          </w:rPr>
          <w:fldChar w:fldCharType="end"/>
        </w:r>
      </w:hyperlink>
    </w:p>
    <w:p w14:paraId="6F35876E" w14:textId="2F3C66E2" w:rsidR="00B964D2" w:rsidRDefault="00407638">
      <w:pPr>
        <w:pStyle w:val="22"/>
        <w:tabs>
          <w:tab w:val="right" w:leader="dot" w:pos="8494"/>
        </w:tabs>
        <w:rPr>
          <w:rFonts w:ascii="彩虹粗仿宋" w:eastAsia="彩虹粗仿宋" w:hAnsi="宋体"/>
          <w:noProof/>
          <w:sz w:val="28"/>
        </w:rPr>
      </w:pPr>
      <w:hyperlink w:anchor="_Toc124325897" w:history="1">
        <w:r w:rsidR="00BE1CEF">
          <w:rPr>
            <w:rStyle w:val="af1"/>
            <w:rFonts w:ascii="彩虹粗仿宋" w:eastAsia="彩虹粗仿宋" w:hAnsi="宋体" w:hint="eastAsia"/>
            <w:noProof/>
            <w:sz w:val="28"/>
            <w:szCs w:val="32"/>
          </w:rPr>
          <w:t>十三、基金有关文件档案的保存</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_Toc124325897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25</w:t>
        </w:r>
        <w:r w:rsidR="00BE1CEF">
          <w:rPr>
            <w:rFonts w:ascii="彩虹粗仿宋" w:eastAsia="彩虹粗仿宋" w:hAnsi="宋体" w:hint="eastAsia"/>
            <w:noProof/>
            <w:sz w:val="28"/>
          </w:rPr>
          <w:fldChar w:fldCharType="end"/>
        </w:r>
      </w:hyperlink>
    </w:p>
    <w:p w14:paraId="73996C56" w14:textId="5701CE03" w:rsidR="00B964D2" w:rsidRDefault="00407638">
      <w:pPr>
        <w:pStyle w:val="22"/>
        <w:tabs>
          <w:tab w:val="right" w:leader="dot" w:pos="8494"/>
        </w:tabs>
        <w:rPr>
          <w:rFonts w:ascii="彩虹粗仿宋" w:eastAsia="彩虹粗仿宋" w:hAnsi="宋体"/>
          <w:noProof/>
          <w:sz w:val="28"/>
        </w:rPr>
      </w:pPr>
      <w:hyperlink w:anchor="_Toc124325898" w:history="1">
        <w:r w:rsidR="00BE1CEF">
          <w:rPr>
            <w:rStyle w:val="af1"/>
            <w:rFonts w:ascii="彩虹粗仿宋" w:eastAsia="彩虹粗仿宋" w:hAnsi="宋体" w:hint="eastAsia"/>
            <w:noProof/>
            <w:sz w:val="28"/>
            <w:szCs w:val="32"/>
          </w:rPr>
          <w:t>十四、基金管理人和基金托管人的更换</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_Toc124325898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26</w:t>
        </w:r>
        <w:r w:rsidR="00BE1CEF">
          <w:rPr>
            <w:rFonts w:ascii="彩虹粗仿宋" w:eastAsia="彩虹粗仿宋" w:hAnsi="宋体" w:hint="eastAsia"/>
            <w:noProof/>
            <w:sz w:val="28"/>
          </w:rPr>
          <w:fldChar w:fldCharType="end"/>
        </w:r>
      </w:hyperlink>
    </w:p>
    <w:p w14:paraId="5FDE164D" w14:textId="67BAB477" w:rsidR="00B964D2" w:rsidRDefault="00407638">
      <w:pPr>
        <w:pStyle w:val="22"/>
        <w:tabs>
          <w:tab w:val="right" w:leader="dot" w:pos="8494"/>
        </w:tabs>
        <w:rPr>
          <w:rFonts w:ascii="彩虹粗仿宋" w:eastAsia="彩虹粗仿宋" w:hAnsi="宋体"/>
          <w:noProof/>
          <w:sz w:val="28"/>
        </w:rPr>
      </w:pPr>
      <w:hyperlink w:anchor="_Toc124325899" w:history="1">
        <w:r w:rsidR="00BE1CEF">
          <w:rPr>
            <w:rStyle w:val="af1"/>
            <w:rFonts w:ascii="彩虹粗仿宋" w:eastAsia="彩虹粗仿宋" w:hAnsi="宋体" w:hint="eastAsia"/>
            <w:noProof/>
            <w:sz w:val="28"/>
            <w:szCs w:val="32"/>
          </w:rPr>
          <w:t>十五、禁止行为</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_Toc124325899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27</w:t>
        </w:r>
        <w:r w:rsidR="00BE1CEF">
          <w:rPr>
            <w:rFonts w:ascii="彩虹粗仿宋" w:eastAsia="彩虹粗仿宋" w:hAnsi="宋体" w:hint="eastAsia"/>
            <w:noProof/>
            <w:sz w:val="28"/>
          </w:rPr>
          <w:fldChar w:fldCharType="end"/>
        </w:r>
      </w:hyperlink>
    </w:p>
    <w:p w14:paraId="660A79F0" w14:textId="09816170" w:rsidR="00B964D2" w:rsidRDefault="00407638">
      <w:pPr>
        <w:pStyle w:val="22"/>
        <w:tabs>
          <w:tab w:val="right" w:leader="dot" w:pos="8494"/>
        </w:tabs>
        <w:rPr>
          <w:rFonts w:ascii="彩虹粗仿宋" w:eastAsia="彩虹粗仿宋" w:hAnsi="宋体"/>
          <w:noProof/>
          <w:sz w:val="28"/>
        </w:rPr>
      </w:pPr>
      <w:hyperlink w:anchor="_Toc124325900" w:history="1">
        <w:r w:rsidR="00BE1CEF">
          <w:rPr>
            <w:rStyle w:val="af1"/>
            <w:rFonts w:ascii="彩虹粗仿宋" w:eastAsia="彩虹粗仿宋" w:hAnsi="宋体" w:hint="eastAsia"/>
            <w:noProof/>
            <w:sz w:val="28"/>
            <w:szCs w:val="32"/>
          </w:rPr>
          <w:t>十六、托管协议的变更、终止与基金财产的清算</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_Toc124325900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28</w:t>
        </w:r>
        <w:r w:rsidR="00BE1CEF">
          <w:rPr>
            <w:rFonts w:ascii="彩虹粗仿宋" w:eastAsia="彩虹粗仿宋" w:hAnsi="宋体" w:hint="eastAsia"/>
            <w:noProof/>
            <w:sz w:val="28"/>
          </w:rPr>
          <w:fldChar w:fldCharType="end"/>
        </w:r>
      </w:hyperlink>
    </w:p>
    <w:p w14:paraId="3AF4D098" w14:textId="0E356118" w:rsidR="00B964D2" w:rsidRDefault="00407638">
      <w:pPr>
        <w:pStyle w:val="22"/>
        <w:tabs>
          <w:tab w:val="right" w:leader="dot" w:pos="8494"/>
        </w:tabs>
        <w:rPr>
          <w:rFonts w:ascii="彩虹粗仿宋" w:eastAsia="彩虹粗仿宋" w:hAnsi="宋体"/>
          <w:noProof/>
          <w:sz w:val="28"/>
        </w:rPr>
      </w:pPr>
      <w:hyperlink w:anchor="_Toc124325901" w:history="1">
        <w:r w:rsidR="00BE1CEF">
          <w:rPr>
            <w:rStyle w:val="af1"/>
            <w:rFonts w:ascii="彩虹粗仿宋" w:eastAsia="彩虹粗仿宋" w:hAnsi="宋体" w:hint="eastAsia"/>
            <w:noProof/>
            <w:sz w:val="28"/>
            <w:szCs w:val="32"/>
          </w:rPr>
          <w:t>十七、违约责任</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_Toc124325901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29</w:t>
        </w:r>
        <w:r w:rsidR="00BE1CEF">
          <w:rPr>
            <w:rFonts w:ascii="彩虹粗仿宋" w:eastAsia="彩虹粗仿宋" w:hAnsi="宋体" w:hint="eastAsia"/>
            <w:noProof/>
            <w:sz w:val="28"/>
          </w:rPr>
          <w:fldChar w:fldCharType="end"/>
        </w:r>
      </w:hyperlink>
    </w:p>
    <w:p w14:paraId="5CF319FA" w14:textId="41C02388" w:rsidR="00B964D2" w:rsidRDefault="00407638">
      <w:pPr>
        <w:pStyle w:val="22"/>
        <w:tabs>
          <w:tab w:val="right" w:leader="dot" w:pos="8494"/>
        </w:tabs>
        <w:rPr>
          <w:rFonts w:ascii="彩虹粗仿宋" w:eastAsia="彩虹粗仿宋" w:hAnsi="宋体"/>
          <w:noProof/>
          <w:sz w:val="28"/>
        </w:rPr>
      </w:pPr>
      <w:hyperlink w:anchor="_Toc124325902" w:history="1">
        <w:r w:rsidR="00BE1CEF">
          <w:rPr>
            <w:rStyle w:val="af1"/>
            <w:rFonts w:ascii="彩虹粗仿宋" w:eastAsia="彩虹粗仿宋" w:hAnsi="宋体" w:hint="eastAsia"/>
            <w:noProof/>
            <w:sz w:val="28"/>
            <w:szCs w:val="32"/>
          </w:rPr>
          <w:t>十八、争议解决方式</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_Toc124325902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30</w:t>
        </w:r>
        <w:r w:rsidR="00BE1CEF">
          <w:rPr>
            <w:rFonts w:ascii="彩虹粗仿宋" w:eastAsia="彩虹粗仿宋" w:hAnsi="宋体" w:hint="eastAsia"/>
            <w:noProof/>
            <w:sz w:val="28"/>
          </w:rPr>
          <w:fldChar w:fldCharType="end"/>
        </w:r>
      </w:hyperlink>
    </w:p>
    <w:p w14:paraId="753885F3" w14:textId="1A7E7C55" w:rsidR="00B964D2" w:rsidRDefault="00407638">
      <w:pPr>
        <w:pStyle w:val="22"/>
        <w:tabs>
          <w:tab w:val="right" w:leader="dot" w:pos="8494"/>
        </w:tabs>
        <w:rPr>
          <w:rFonts w:ascii="彩虹粗仿宋" w:eastAsia="彩虹粗仿宋" w:hAnsi="宋体"/>
          <w:noProof/>
          <w:sz w:val="28"/>
        </w:rPr>
      </w:pPr>
      <w:hyperlink w:anchor="_Toc124325903" w:history="1">
        <w:r w:rsidR="00BE1CEF">
          <w:rPr>
            <w:rStyle w:val="af1"/>
            <w:rFonts w:ascii="彩虹粗仿宋" w:eastAsia="彩虹粗仿宋" w:hAnsi="宋体" w:hint="eastAsia"/>
            <w:noProof/>
            <w:sz w:val="28"/>
            <w:szCs w:val="32"/>
          </w:rPr>
          <w:t>十九、托管协议的效力</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_Toc124325903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30</w:t>
        </w:r>
        <w:r w:rsidR="00BE1CEF">
          <w:rPr>
            <w:rFonts w:ascii="彩虹粗仿宋" w:eastAsia="彩虹粗仿宋" w:hAnsi="宋体" w:hint="eastAsia"/>
            <w:noProof/>
            <w:sz w:val="28"/>
          </w:rPr>
          <w:fldChar w:fldCharType="end"/>
        </w:r>
      </w:hyperlink>
    </w:p>
    <w:p w14:paraId="1477BE54" w14:textId="31E7FD86" w:rsidR="00B964D2" w:rsidRDefault="00407638">
      <w:pPr>
        <w:pStyle w:val="22"/>
        <w:tabs>
          <w:tab w:val="right" w:leader="dot" w:pos="8494"/>
        </w:tabs>
        <w:rPr>
          <w:rFonts w:ascii="彩虹粗仿宋" w:eastAsia="彩虹粗仿宋" w:hAnsi="宋体"/>
          <w:noProof/>
          <w:sz w:val="28"/>
        </w:rPr>
      </w:pPr>
      <w:hyperlink w:anchor="_Toc124325904" w:history="1">
        <w:r w:rsidR="00BE1CEF">
          <w:rPr>
            <w:rStyle w:val="af1"/>
            <w:rFonts w:ascii="彩虹粗仿宋" w:eastAsia="彩虹粗仿宋" w:hAnsi="宋体" w:hint="eastAsia"/>
            <w:noProof/>
            <w:sz w:val="28"/>
            <w:szCs w:val="32"/>
          </w:rPr>
          <w:t>二十、其他事项</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_Toc124325904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30</w:t>
        </w:r>
        <w:r w:rsidR="00BE1CEF">
          <w:rPr>
            <w:rFonts w:ascii="彩虹粗仿宋" w:eastAsia="彩虹粗仿宋" w:hAnsi="宋体" w:hint="eastAsia"/>
            <w:noProof/>
            <w:sz w:val="28"/>
          </w:rPr>
          <w:fldChar w:fldCharType="end"/>
        </w:r>
      </w:hyperlink>
    </w:p>
    <w:p w14:paraId="50CD6A84" w14:textId="6547B439" w:rsidR="00B964D2" w:rsidRDefault="00407638">
      <w:pPr>
        <w:pStyle w:val="22"/>
        <w:tabs>
          <w:tab w:val="right" w:leader="dot" w:pos="8494"/>
        </w:tabs>
        <w:rPr>
          <w:rFonts w:ascii="彩虹粗仿宋" w:eastAsia="彩虹粗仿宋" w:hAnsi="宋体"/>
          <w:noProof/>
          <w:sz w:val="28"/>
        </w:rPr>
      </w:pPr>
      <w:hyperlink w:anchor="_Toc124325905" w:history="1">
        <w:r w:rsidR="00BE1CEF">
          <w:rPr>
            <w:rStyle w:val="af1"/>
            <w:rFonts w:ascii="彩虹粗仿宋" w:eastAsia="彩虹粗仿宋" w:hAnsi="宋体" w:hint="eastAsia"/>
            <w:noProof/>
            <w:sz w:val="28"/>
            <w:szCs w:val="32"/>
          </w:rPr>
          <w:t>二十一、托管协议</w:t>
        </w:r>
        <w:r w:rsidR="00BE1CEF">
          <w:rPr>
            <w:rStyle w:val="af1"/>
            <w:rFonts w:ascii="彩虹粗仿宋" w:eastAsia="彩虹粗仿宋" w:hAnsi="宋体" w:hint="eastAsia"/>
            <w:noProof/>
            <w:sz w:val="28"/>
            <w:szCs w:val="32"/>
          </w:rPr>
          <w:t>的</w:t>
        </w:r>
        <w:r w:rsidR="00BE1CEF">
          <w:rPr>
            <w:rStyle w:val="af1"/>
            <w:rFonts w:ascii="彩虹粗仿宋" w:eastAsia="彩虹粗仿宋" w:hAnsi="宋体" w:hint="eastAsia"/>
            <w:noProof/>
            <w:sz w:val="28"/>
            <w:szCs w:val="32"/>
          </w:rPr>
          <w:t>签订</w:t>
        </w:r>
        <w:r w:rsidR="00BE1CEF">
          <w:rPr>
            <w:rFonts w:ascii="彩虹粗仿宋" w:eastAsia="彩虹粗仿宋" w:hAnsi="宋体" w:hint="eastAsia"/>
            <w:noProof/>
            <w:sz w:val="28"/>
          </w:rPr>
          <w:tab/>
        </w:r>
        <w:r w:rsidR="00BE1CEF">
          <w:rPr>
            <w:rFonts w:ascii="彩虹粗仿宋" w:eastAsia="彩虹粗仿宋" w:hAnsi="宋体" w:hint="eastAsia"/>
            <w:noProof/>
            <w:sz w:val="28"/>
          </w:rPr>
          <w:fldChar w:fldCharType="begin"/>
        </w:r>
        <w:r w:rsidR="00BE1CEF">
          <w:rPr>
            <w:rFonts w:ascii="彩虹粗仿宋" w:eastAsia="彩虹粗仿宋" w:hAnsi="宋体" w:hint="eastAsia"/>
            <w:noProof/>
            <w:sz w:val="28"/>
          </w:rPr>
          <w:instrText xml:space="preserve"> PAGEREF _Toc124325905 \h </w:instrText>
        </w:r>
        <w:r w:rsidR="00BE1CEF">
          <w:rPr>
            <w:rFonts w:ascii="彩虹粗仿宋" w:eastAsia="彩虹粗仿宋" w:hAnsi="宋体" w:hint="eastAsia"/>
            <w:noProof/>
            <w:sz w:val="28"/>
          </w:rPr>
        </w:r>
        <w:r w:rsidR="00BE1CEF">
          <w:rPr>
            <w:rFonts w:ascii="彩虹粗仿宋" w:eastAsia="彩虹粗仿宋" w:hAnsi="宋体" w:hint="eastAsia"/>
            <w:noProof/>
            <w:sz w:val="28"/>
          </w:rPr>
          <w:fldChar w:fldCharType="separate"/>
        </w:r>
        <w:r w:rsidR="00DC55C3">
          <w:rPr>
            <w:rFonts w:ascii="彩虹粗仿宋" w:eastAsia="彩虹粗仿宋" w:hAnsi="宋体"/>
            <w:noProof/>
            <w:sz w:val="28"/>
          </w:rPr>
          <w:t>31</w:t>
        </w:r>
        <w:r w:rsidR="00BE1CEF">
          <w:rPr>
            <w:rFonts w:ascii="彩虹粗仿宋" w:eastAsia="彩虹粗仿宋" w:hAnsi="宋体" w:hint="eastAsia"/>
            <w:noProof/>
            <w:sz w:val="28"/>
          </w:rPr>
          <w:fldChar w:fldCharType="end"/>
        </w:r>
      </w:hyperlink>
    </w:p>
    <w:p w14:paraId="737C2729" w14:textId="77777777" w:rsidR="00B964D2" w:rsidRDefault="00BE1CEF">
      <w:pPr>
        <w:rPr>
          <w:rFonts w:ascii="彩虹粗仿宋" w:eastAsia="彩虹粗仿宋"/>
          <w:sz w:val="24"/>
        </w:rPr>
      </w:pPr>
      <w:r>
        <w:rPr>
          <w:rFonts w:ascii="彩虹粗仿宋" w:eastAsia="彩虹粗仿宋" w:hAnsi="宋体" w:hint="eastAsia"/>
          <w:sz w:val="28"/>
        </w:rPr>
        <w:lastRenderedPageBreak/>
        <w:fldChar w:fldCharType="end"/>
      </w:r>
    </w:p>
    <w:p w14:paraId="7CF74E98" w14:textId="77777777" w:rsidR="00B964D2" w:rsidRDefault="00BE1CEF">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鉴于国泰基金管理有限公司系一家依照中国法律合法成立并有效存续的有限责任公司，按照相关法律法规的规定具备担任基金管理人的资格和能力，拟募集发行国泰鼎利债券型证券投资基金；</w:t>
      </w:r>
    </w:p>
    <w:p w14:paraId="368F236B" w14:textId="77777777" w:rsidR="00B964D2" w:rsidRDefault="00BE1CEF">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C4E7FA3" w14:textId="77777777" w:rsidR="00B964D2" w:rsidRDefault="00BE1CEF">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鉴于国泰基金管理有限公司拟担任国泰鼎利债券型证券投资基金的基金管理人，中国建设银行股份有限公司拟担任国泰鼎利债券型证券投资基金的基金托管人；</w:t>
      </w:r>
    </w:p>
    <w:p w14:paraId="5A8359CB" w14:textId="77777777" w:rsidR="00B964D2" w:rsidRDefault="00BE1CEF">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为明确国泰鼎利债券型证券投资基金的基金管理人和基金托管人之间的权利义务关系，特制订本托管协议；</w:t>
      </w:r>
    </w:p>
    <w:p w14:paraId="1DA06768" w14:textId="77777777" w:rsidR="00B964D2" w:rsidRDefault="00BE1CEF">
      <w:pPr>
        <w:widowControl/>
        <w:adjustRightInd w:val="0"/>
        <w:snapToGrid w:val="0"/>
        <w:ind w:firstLineChars="200" w:firstLine="480"/>
        <w:rPr>
          <w:rFonts w:ascii="彩虹粗仿宋" w:hAnsi="宋体"/>
          <w:kern w:val="0"/>
          <w:sz w:val="24"/>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国泰鼎利债券型证券投资基金</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59116597" w14:textId="77777777" w:rsidR="00B964D2" w:rsidRDefault="00B964D2">
      <w:pPr>
        <w:rPr>
          <w:rFonts w:ascii="彩虹粗仿宋" w:eastAsia="彩虹粗仿宋"/>
          <w:sz w:val="24"/>
          <w:lang w:val="en-GB"/>
        </w:rPr>
      </w:pPr>
    </w:p>
    <w:p w14:paraId="0B7341E0" w14:textId="77777777" w:rsidR="00B964D2" w:rsidRDefault="00BE1CEF">
      <w:pPr>
        <w:pStyle w:val="2"/>
        <w:jc w:val="center"/>
        <w:rPr>
          <w:rFonts w:ascii="彩虹粗仿宋" w:eastAsia="彩虹粗仿宋"/>
        </w:rPr>
      </w:pPr>
      <w:bookmarkStart w:id="0" w:name="_Toc124325885"/>
      <w:r>
        <w:rPr>
          <w:rFonts w:ascii="彩虹粗仿宋" w:eastAsia="彩虹粗仿宋" w:hint="eastAsia"/>
        </w:rPr>
        <w:t>一、基金托管协议当事人</w:t>
      </w:r>
      <w:bookmarkEnd w:id="0"/>
    </w:p>
    <w:p w14:paraId="5FB2F70E"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6FBCB54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名称：国泰基金管理有限公司</w:t>
      </w:r>
    </w:p>
    <w:p w14:paraId="3582E21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注册地址：中国（上海）自由贸易试验区浦东大道1200号2层225室</w:t>
      </w:r>
    </w:p>
    <w:p w14:paraId="79289E3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办公地址：上海市虹口区公平路18号8号楼嘉昱大厦1</w:t>
      </w:r>
      <w:r>
        <w:rPr>
          <w:rFonts w:ascii="彩虹粗仿宋" w:eastAsia="彩虹粗仿宋" w:hAnsi="宋体" w:cs="Arial"/>
          <w:sz w:val="24"/>
        </w:rPr>
        <w:t>5</w:t>
      </w:r>
      <w:r>
        <w:rPr>
          <w:rFonts w:ascii="彩虹粗仿宋" w:eastAsia="彩虹粗仿宋" w:hAnsi="宋体" w:cs="Arial" w:hint="eastAsia"/>
          <w:sz w:val="24"/>
        </w:rPr>
        <w:t>-</w:t>
      </w:r>
      <w:r>
        <w:rPr>
          <w:rFonts w:ascii="彩虹粗仿宋" w:eastAsia="彩虹粗仿宋" w:hAnsi="宋体" w:cs="Arial"/>
          <w:sz w:val="24"/>
        </w:rPr>
        <w:t>20</w:t>
      </w:r>
      <w:r>
        <w:rPr>
          <w:rFonts w:ascii="彩虹粗仿宋" w:eastAsia="彩虹粗仿宋" w:hAnsi="宋体" w:cs="Arial" w:hint="eastAsia"/>
          <w:sz w:val="24"/>
        </w:rPr>
        <w:t>层</w:t>
      </w:r>
    </w:p>
    <w:p w14:paraId="264B7D1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邮政编码：200082</w:t>
      </w:r>
    </w:p>
    <w:p w14:paraId="390B1A8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法定代表人：周向勇</w:t>
      </w:r>
    </w:p>
    <w:p w14:paraId="7A0461F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w:t>
      </w:r>
      <w:r>
        <w:rPr>
          <w:rStyle w:val="read"/>
          <w:rFonts w:ascii="彩虹粗仿宋" w:eastAsia="彩虹粗仿宋" w:hAnsi="宋体" w:cs="Arial" w:hint="eastAsia"/>
          <w:sz w:val="24"/>
        </w:rPr>
        <w:t>年3月5日</w:t>
      </w:r>
    </w:p>
    <w:p w14:paraId="152FF75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w:t>
      </w:r>
      <w:r>
        <w:rPr>
          <w:rStyle w:val="read"/>
          <w:rFonts w:ascii="彩虹粗仿宋" w:eastAsia="彩虹粗仿宋" w:hAnsi="宋体" w:cs="Arial"/>
          <w:sz w:val="24"/>
        </w:rPr>
        <w:t>1998</w:t>
      </w:r>
      <w:r>
        <w:rPr>
          <w:rStyle w:val="read"/>
          <w:rFonts w:ascii="彩虹粗仿宋" w:eastAsia="彩虹粗仿宋" w:hAnsi="宋体" w:cs="Arial" w:hint="eastAsia"/>
          <w:sz w:val="24"/>
        </w:rPr>
        <w:t>】</w:t>
      </w:r>
      <w:r>
        <w:rPr>
          <w:rStyle w:val="read"/>
          <w:rFonts w:ascii="彩虹粗仿宋" w:eastAsia="彩虹粗仿宋" w:hAnsi="宋体" w:cs="Arial"/>
          <w:sz w:val="24"/>
        </w:rPr>
        <w:t>5</w:t>
      </w:r>
      <w:r>
        <w:rPr>
          <w:rFonts w:ascii="彩虹粗仿宋" w:eastAsia="彩虹粗仿宋" w:hAnsi="宋体" w:cs="Arial" w:hint="eastAsia"/>
          <w:sz w:val="24"/>
        </w:rPr>
        <w:t>号</w:t>
      </w:r>
    </w:p>
    <w:p w14:paraId="6C2F67C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71ADA54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注册资本：1.1亿元人民币</w:t>
      </w:r>
    </w:p>
    <w:p w14:paraId="2DAA2FB2"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74F47B3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经营范围：基金设立、基金业务管理，及中国证监会批准的其他业务</w:t>
      </w:r>
    </w:p>
    <w:p w14:paraId="62286FC8"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4455347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p>
    <w:p w14:paraId="13CB30F2"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75217AB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206DD7A3"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0F6462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72EF34D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成立日期：2004年9月17日</w:t>
      </w:r>
    </w:p>
    <w:p w14:paraId="5DCC008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批准设立机关和批准设立文号：中国银行业监督管理委员会</w:t>
      </w:r>
      <w:proofErr w:type="gramStart"/>
      <w:r>
        <w:rPr>
          <w:rFonts w:ascii="彩虹粗仿宋" w:eastAsia="彩虹粗仿宋" w:hAnsi="宋体" w:cs="Arial" w:hint="eastAsia"/>
          <w:sz w:val="24"/>
        </w:rPr>
        <w:t>银监复【2004】</w:t>
      </w:r>
      <w:proofErr w:type="gramEnd"/>
      <w:r>
        <w:rPr>
          <w:rFonts w:ascii="彩虹粗仿宋" w:eastAsia="彩虹粗仿宋" w:hAnsi="宋体" w:cs="Arial" w:hint="eastAsia"/>
          <w:sz w:val="24"/>
        </w:rPr>
        <w:t>143号</w:t>
      </w:r>
    </w:p>
    <w:p w14:paraId="763D8A8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【1998】12号</w:t>
      </w:r>
    </w:p>
    <w:p w14:paraId="31F7E8B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0EA834A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65F9125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F421A88" w14:textId="77777777" w:rsidR="00B964D2" w:rsidRDefault="00BE1CEF">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w:t>
      </w:r>
      <w:r>
        <w:rPr>
          <w:rFonts w:ascii="彩虹粗仿宋" w:eastAsia="彩虹粗仿宋" w:hAnsi="宋体" w:cs="Arial" w:hint="eastAsia"/>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6009558" w14:textId="77777777" w:rsidR="00B964D2" w:rsidRDefault="00B964D2">
      <w:pPr>
        <w:rPr>
          <w:rFonts w:ascii="彩虹粗仿宋" w:eastAsia="彩虹粗仿宋"/>
          <w:sz w:val="24"/>
        </w:rPr>
      </w:pPr>
    </w:p>
    <w:p w14:paraId="1F6E24D1" w14:textId="77777777" w:rsidR="00B964D2" w:rsidRDefault="00BE1CEF">
      <w:pPr>
        <w:pStyle w:val="2"/>
        <w:jc w:val="center"/>
        <w:rPr>
          <w:rFonts w:ascii="彩虹粗仿宋" w:eastAsia="彩虹粗仿宋"/>
          <w:sz w:val="30"/>
        </w:rPr>
      </w:pPr>
      <w:bookmarkStart w:id="1" w:name="_Toc124325886"/>
      <w:r>
        <w:rPr>
          <w:rFonts w:ascii="彩虹粗仿宋" w:eastAsia="彩虹粗仿宋" w:hint="eastAsia"/>
          <w:sz w:val="30"/>
        </w:rPr>
        <w:t>二、基金托管协议的依据、目的和原则</w:t>
      </w:r>
      <w:bookmarkEnd w:id="1"/>
    </w:p>
    <w:p w14:paraId="5F872337" w14:textId="77777777" w:rsidR="00B964D2" w:rsidRDefault="00BE1CEF">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E5EE52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流动性风险管理规定》”）、《公开募集证券投资基金销售费用管理规定》等有关法律法规、《基金合同》及其他有关规定制订。</w:t>
      </w:r>
    </w:p>
    <w:p w14:paraId="7989B96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39B3D2D" w14:textId="77777777" w:rsidR="00B964D2" w:rsidRDefault="00BE1CEF">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86B233"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B6F39F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50FF16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（四）若本基金实施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实施期间的相关安排</w:t>
      </w:r>
      <w:proofErr w:type="gramStart"/>
      <w:r>
        <w:rPr>
          <w:rFonts w:ascii="彩虹粗仿宋" w:eastAsia="彩虹粗仿宋" w:hAnsi="宋体" w:cs="Arial" w:hint="eastAsia"/>
          <w:sz w:val="24"/>
        </w:rPr>
        <w:t>见基金</w:t>
      </w:r>
      <w:proofErr w:type="gramEnd"/>
      <w:r>
        <w:rPr>
          <w:rFonts w:ascii="彩虹粗仿宋" w:eastAsia="彩虹粗仿宋" w:hAnsi="宋体" w:cs="Arial" w:hint="eastAsia"/>
          <w:sz w:val="24"/>
        </w:rPr>
        <w:t>合同和招募说明书的规定。</w:t>
      </w:r>
    </w:p>
    <w:p w14:paraId="7FADD90E" w14:textId="77777777" w:rsidR="00B964D2" w:rsidRDefault="00B964D2">
      <w:pPr>
        <w:rPr>
          <w:rFonts w:ascii="彩虹粗仿宋" w:eastAsia="彩虹粗仿宋"/>
          <w:sz w:val="24"/>
        </w:rPr>
      </w:pPr>
    </w:p>
    <w:p w14:paraId="4B6CF508" w14:textId="77777777" w:rsidR="00B964D2" w:rsidRDefault="00BE1CEF">
      <w:pPr>
        <w:pStyle w:val="2"/>
        <w:jc w:val="center"/>
        <w:rPr>
          <w:rFonts w:ascii="彩虹粗仿宋" w:eastAsia="彩虹粗仿宋"/>
          <w:sz w:val="30"/>
          <w:szCs w:val="24"/>
        </w:rPr>
      </w:pPr>
      <w:bookmarkStart w:id="2" w:name="_Toc124325887"/>
      <w:r>
        <w:rPr>
          <w:rFonts w:ascii="彩虹粗仿宋" w:eastAsia="彩虹粗仿宋" w:hint="eastAsia"/>
          <w:sz w:val="30"/>
        </w:rPr>
        <w:t>三、基金托管人对基金管理人的业务监督和核查</w:t>
      </w:r>
      <w:bookmarkEnd w:id="2"/>
    </w:p>
    <w:p w14:paraId="2E0112F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ascii="彩虹粗仿宋" w:eastAsia="彩虹粗仿宋" w:hAnsi="宋体" w:cs="Arial" w:hint="eastAsia"/>
          <w:sz w:val="24"/>
        </w:rPr>
        <w:t>库提供</w:t>
      </w:r>
      <w:proofErr w:type="gramEnd"/>
      <w:r>
        <w:rPr>
          <w:rFonts w:ascii="彩虹粗仿宋" w:eastAsia="彩虹粗仿宋" w:hAnsi="宋体" w:cs="Arial" w:hint="eastAsia"/>
          <w:sz w:val="24"/>
        </w:rPr>
        <w:t>给基金托管人，基金管理人可以根据实际情况的变化，对标的证券</w:t>
      </w:r>
      <w:proofErr w:type="gramStart"/>
      <w:r>
        <w:rPr>
          <w:rFonts w:ascii="彩虹粗仿宋" w:eastAsia="彩虹粗仿宋" w:hAnsi="宋体" w:cs="Arial" w:hint="eastAsia"/>
          <w:sz w:val="24"/>
        </w:rPr>
        <w:t>库予以</w:t>
      </w:r>
      <w:proofErr w:type="gramEnd"/>
      <w:r>
        <w:rPr>
          <w:rFonts w:ascii="彩虹粗仿宋" w:eastAsia="彩虹粗仿宋" w:hAnsi="宋体" w:cs="Arial" w:hint="eastAsia"/>
          <w:sz w:val="24"/>
        </w:rPr>
        <w:t>更新和调整并及时书面通知基金托管人。基金托管人根据上述投资范围对基金实际投资是否符合《基金合同》关于证券选择标准的约定进行监督。</w:t>
      </w:r>
    </w:p>
    <w:p w14:paraId="7E2403B2" w14:textId="77777777" w:rsidR="00B964D2" w:rsidRDefault="00BE1CEF">
      <w:pPr>
        <w:adjustRightInd w:val="0"/>
        <w:snapToGrid w:val="0"/>
        <w:ind w:firstLineChars="200" w:firstLine="480"/>
        <w:rPr>
          <w:rFonts w:ascii="彩虹粗仿宋" w:eastAsia="彩虹粗仿宋" w:hAnsi="宋体" w:cs="Arial"/>
          <w:sz w:val="24"/>
        </w:rPr>
      </w:pPr>
      <w:bookmarkStart w:id="3" w:name="_Hlk117759641"/>
      <w:r>
        <w:rPr>
          <w:rFonts w:ascii="彩虹粗仿宋" w:eastAsia="彩虹粗仿宋" w:hAnsi="宋体" w:cs="Arial" w:hint="eastAsia"/>
          <w:sz w:val="24"/>
        </w:rPr>
        <w:t>本基金的投资范围为具有良好流动性的金融工具，包括国内依法发行上市的股票（包括主板、</w:t>
      </w:r>
      <w:proofErr w:type="gramStart"/>
      <w:r>
        <w:rPr>
          <w:rFonts w:ascii="彩虹粗仿宋" w:eastAsia="彩虹粗仿宋" w:hAnsi="宋体" w:cs="Arial" w:hint="eastAsia"/>
          <w:sz w:val="24"/>
        </w:rPr>
        <w:t>科创板</w:t>
      </w:r>
      <w:proofErr w:type="gramEnd"/>
      <w:r>
        <w:rPr>
          <w:rFonts w:ascii="彩虹粗仿宋" w:eastAsia="彩虹粗仿宋" w:hAnsi="宋体" w:cs="Arial" w:hint="eastAsia"/>
          <w:sz w:val="24"/>
        </w:rPr>
        <w:t>、创业板及其他中国证监会允许基金投资的股票、存托凭证）、港股通标的股票、债券（包括国债、央行票据、金融债、企业债、公司债、公开发行的次级债、地方政府债、政府支持债券、政府支持机构债券、中期票据、可转换债券（含分离交易可转债）、可交换债券、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等）、资产支持证券、债券回购、银行存款、同业存单、货币市场工具、信用衍生品、国债期货、经中国证监会依法核准或注册的公开募集证券投资基金（仅可投资于股票型</w:t>
      </w:r>
      <w:r>
        <w:rPr>
          <w:rFonts w:ascii="彩虹粗仿宋" w:eastAsia="彩虹粗仿宋" w:hAnsi="宋体" w:cs="Arial"/>
          <w:sz w:val="24"/>
        </w:rPr>
        <w:t>ETF、本</w:t>
      </w:r>
      <w:r>
        <w:rPr>
          <w:rFonts w:ascii="彩虹粗仿宋" w:eastAsia="彩虹粗仿宋" w:hAnsi="宋体" w:cs="Arial" w:hint="eastAsia"/>
          <w:sz w:val="24"/>
        </w:rPr>
        <w:t>基金管理人管理的股票型基金以及计入权益类资产的混合型基金，不包含</w:t>
      </w:r>
      <w:r>
        <w:rPr>
          <w:rFonts w:ascii="彩虹粗仿宋" w:eastAsia="彩虹粗仿宋" w:hAnsi="宋体" w:cs="Arial"/>
          <w:sz w:val="24"/>
        </w:rPr>
        <w:t>QDII基金、香港互认基金、货币市场基金、基金中基金和其他投资范围包含基</w:t>
      </w:r>
      <w:r>
        <w:rPr>
          <w:rFonts w:ascii="彩虹粗仿宋" w:eastAsia="彩虹粗仿宋" w:hAnsi="宋体" w:cs="Arial"/>
          <w:sz w:val="24"/>
        </w:rPr>
        <w:lastRenderedPageBreak/>
        <w:t>金的基金）等，以及法律法规或中国证监会允许基金投资的其他金融工具（但须符合中国证监会的相关规定）。</w:t>
      </w:r>
    </w:p>
    <w:p w14:paraId="46AEBBA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基金的投资组合比例为：本基金投资于债券资产的比例不低于基金资产的</w:t>
      </w:r>
      <w:r>
        <w:rPr>
          <w:rFonts w:ascii="彩虹粗仿宋" w:eastAsia="彩虹粗仿宋" w:hAnsi="宋体" w:cs="Arial"/>
          <w:sz w:val="24"/>
        </w:rPr>
        <w:t>80%；投资于权益类资产、可转换债券（可分离交易可转债的</w:t>
      </w:r>
      <w:proofErr w:type="gramStart"/>
      <w:r>
        <w:rPr>
          <w:rFonts w:ascii="彩虹粗仿宋" w:eastAsia="彩虹粗仿宋" w:hAnsi="宋体" w:cs="Arial"/>
          <w:sz w:val="24"/>
        </w:rPr>
        <w:t>纯债部分</w:t>
      </w:r>
      <w:proofErr w:type="gramEnd"/>
      <w:r>
        <w:rPr>
          <w:rFonts w:ascii="彩虹粗仿宋" w:eastAsia="彩虹粗仿宋" w:hAnsi="宋体" w:cs="Arial"/>
          <w:sz w:val="24"/>
        </w:rPr>
        <w:t>除外）、可交换债券的比例合计占基金资产的比例为5%-20%（其中，投资于境内股票资产（含境内股票ETF）比例不低于基金资产的5%，投资于港股通标的股票比例不超过股票资产的50%）；本基金投资于经中国证监会依法核准或注册的公开募集证券投资基金的比例不超过基金资产净值的10%；每个交易日日终在扣除国债期货合约需缴纳的交易保证金后，本基金保持不低于基金资产净值5%的现金或者到期日在一年以</w:t>
      </w:r>
      <w:r>
        <w:rPr>
          <w:rFonts w:ascii="彩虹粗仿宋" w:eastAsia="彩虹粗仿宋" w:hAnsi="宋体" w:cs="Arial" w:hint="eastAsia"/>
          <w:sz w:val="24"/>
        </w:rPr>
        <w:t>内的政府债券，其中现金不包括结算备付金、存出保证金和应收申购款等。</w:t>
      </w:r>
    </w:p>
    <w:p w14:paraId="3860BB9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本基金投资的权益类资产包括股票（</w:t>
      </w:r>
      <w:proofErr w:type="gramStart"/>
      <w:r>
        <w:rPr>
          <w:rFonts w:ascii="彩虹粗仿宋" w:eastAsia="彩虹粗仿宋" w:hAnsi="宋体" w:cs="Arial" w:hint="eastAsia"/>
          <w:sz w:val="24"/>
        </w:rPr>
        <w:t>含存托</w:t>
      </w:r>
      <w:proofErr w:type="gramEnd"/>
      <w:r>
        <w:rPr>
          <w:rFonts w:ascii="彩虹粗仿宋" w:eastAsia="彩虹粗仿宋" w:hAnsi="宋体" w:cs="Arial" w:hint="eastAsia"/>
          <w:sz w:val="24"/>
        </w:rPr>
        <w:t>凭证）、股票型基金、计入权益类资产的混合型基金。其中，计入权益类资产的混合型基金需符合下列两个条件之一：（</w:t>
      </w:r>
      <w:r>
        <w:rPr>
          <w:rFonts w:ascii="彩虹粗仿宋" w:eastAsia="彩虹粗仿宋" w:hAnsi="宋体" w:cs="Arial"/>
          <w:sz w:val="24"/>
        </w:rPr>
        <w:t>1）基金合同约定股票资产占基金资产的比例不低于60%；（2）最近四个季度定期报告披露的股票资产投资比例均不低于基金资产的60%。</w:t>
      </w:r>
    </w:p>
    <w:p w14:paraId="1EE93EC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如法律法规或监管机构以后允许基金投资其他品种或变更投资比例限制，基金管理人在履行适当程序后，可以相应调整本基金的投资范围和投资比例规定。</w:t>
      </w:r>
    </w:p>
    <w:p w14:paraId="6B162454"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bookmarkEnd w:id="3"/>
    <w:p w14:paraId="7B224E83"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本基金投资于债券资产的比例不低于基金资产的80%；</w:t>
      </w:r>
    </w:p>
    <w:p w14:paraId="6E2AF0F9"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本基金投资于权益类资产、可转换债券（可分离交易可转债的</w:t>
      </w:r>
      <w:proofErr w:type="gramStart"/>
      <w:r>
        <w:rPr>
          <w:rFonts w:ascii="彩虹粗仿宋" w:eastAsia="彩虹粗仿宋"/>
          <w:sz w:val="24"/>
        </w:rPr>
        <w:t>纯债部分</w:t>
      </w:r>
      <w:proofErr w:type="gramEnd"/>
      <w:r>
        <w:rPr>
          <w:rFonts w:ascii="彩虹粗仿宋" w:eastAsia="彩虹粗仿宋"/>
          <w:sz w:val="24"/>
        </w:rPr>
        <w:t>除外）、可交换债券的比例合计占基金资产的比例为5%-20%（其中，投资于境内股票资产（含境内股票ETF）比例不低于基金资产的5%，投资于港股通标的股票比例不超过股票资产的50%）；</w:t>
      </w:r>
    </w:p>
    <w:p w14:paraId="006B6431"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3、</w:t>
      </w:r>
      <w:r>
        <w:rPr>
          <w:rFonts w:ascii="彩虹粗仿宋" w:eastAsia="彩虹粗仿宋"/>
          <w:sz w:val="24"/>
        </w:rPr>
        <w:t>每个交易日日终在扣除国债期货合约需缴纳的交易保证金后，本基金保持不低于基金资产净值5%的现金或者到期日在一年以内的政府债券，其中现金不包括结算备付金、存出保证金和应收申购款等；</w:t>
      </w:r>
    </w:p>
    <w:p w14:paraId="32EF5649"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4、</w:t>
      </w:r>
      <w:r>
        <w:rPr>
          <w:rFonts w:ascii="彩虹粗仿宋" w:eastAsia="彩虹粗仿宋"/>
          <w:sz w:val="24"/>
        </w:rPr>
        <w:t>本基金持有一家公司发行的证券（同一家公司在境内和香港同时上市的A+H股合计计算，不含本基金所投资的基金份额），其市值不超过基金资产净值的10%；</w:t>
      </w:r>
    </w:p>
    <w:p w14:paraId="22CE07FD"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5、</w:t>
      </w:r>
      <w:r>
        <w:rPr>
          <w:rFonts w:ascii="彩虹粗仿宋" w:eastAsia="彩虹粗仿宋"/>
          <w:sz w:val="24"/>
        </w:rPr>
        <w:t>本基金管理人管理的</w:t>
      </w:r>
      <w:r>
        <w:rPr>
          <w:rFonts w:ascii="彩虹粗仿宋" w:eastAsia="彩虹粗仿宋" w:hint="eastAsia"/>
          <w:sz w:val="24"/>
        </w:rPr>
        <w:t>且在本基金托管人处托管</w:t>
      </w:r>
      <w:r>
        <w:rPr>
          <w:rFonts w:ascii="彩虹粗仿宋" w:hint="eastAsia"/>
          <w:sz w:val="24"/>
        </w:rPr>
        <w:t>的</w:t>
      </w:r>
      <w:r>
        <w:rPr>
          <w:rFonts w:ascii="彩虹粗仿宋" w:eastAsia="彩虹粗仿宋"/>
          <w:sz w:val="24"/>
        </w:rPr>
        <w:t>全部基金持有一家公司发行的证券（同一家公司在境内和香港同时上市的A+H股合计计算，不含本基金所投资的基金份额），不超过该证券的10%，完全按照有关指数的构成比例进行证券投资的基金品种可以不受此条款规定的比例限制；</w:t>
      </w:r>
    </w:p>
    <w:p w14:paraId="55152F3E"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6、</w:t>
      </w:r>
      <w:r>
        <w:rPr>
          <w:rFonts w:ascii="彩虹粗仿宋" w:eastAsia="彩虹粗仿宋"/>
          <w:sz w:val="24"/>
        </w:rPr>
        <w:t>本基金投资于同一原始权益人的各类资产支持证券的比例，不得超过基金资产净值的10%；</w:t>
      </w:r>
    </w:p>
    <w:p w14:paraId="28C233CE"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7、</w:t>
      </w:r>
      <w:r>
        <w:rPr>
          <w:rFonts w:ascii="彩虹粗仿宋" w:eastAsia="彩虹粗仿宋"/>
          <w:sz w:val="24"/>
        </w:rPr>
        <w:t>本基金持有的全部资产支持证券，其市值不得超过基金资产净值的20%；</w:t>
      </w:r>
    </w:p>
    <w:p w14:paraId="3D4A3290"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8、</w:t>
      </w:r>
      <w:r>
        <w:rPr>
          <w:rFonts w:ascii="彩虹粗仿宋" w:eastAsia="彩虹粗仿宋"/>
          <w:sz w:val="24"/>
        </w:rPr>
        <w:t>本基金持有的同一（指同一信用级别）资产支持证券的比例，不得超过该资产支持证券规模的10%；</w:t>
      </w:r>
    </w:p>
    <w:p w14:paraId="62829826"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9、</w:t>
      </w:r>
      <w:r>
        <w:rPr>
          <w:rFonts w:ascii="彩虹粗仿宋" w:eastAsia="彩虹粗仿宋"/>
          <w:sz w:val="24"/>
        </w:rPr>
        <w:t>本基金管理人管理的</w:t>
      </w:r>
      <w:r>
        <w:rPr>
          <w:rFonts w:ascii="彩虹粗仿宋" w:eastAsia="彩虹粗仿宋" w:hint="eastAsia"/>
          <w:sz w:val="24"/>
        </w:rPr>
        <w:t>且在本基金托管人处托管</w:t>
      </w:r>
      <w:r>
        <w:rPr>
          <w:rFonts w:ascii="彩虹粗仿宋" w:hint="eastAsia"/>
          <w:sz w:val="24"/>
        </w:rPr>
        <w:t>的</w:t>
      </w:r>
      <w:r>
        <w:rPr>
          <w:rFonts w:ascii="彩虹粗仿宋" w:eastAsia="彩虹粗仿宋"/>
          <w:sz w:val="24"/>
        </w:rPr>
        <w:t>全部基金投资于同一原始权益人的各类资产支持证券，不得超过其各类资产支持证券合计规模的10%；</w:t>
      </w:r>
    </w:p>
    <w:p w14:paraId="4713E1D7"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0</w:t>
      </w:r>
      <w:r>
        <w:rPr>
          <w:rFonts w:ascii="彩虹粗仿宋" w:eastAsia="彩虹粗仿宋" w:hint="eastAsia"/>
          <w:sz w:val="24"/>
        </w:rPr>
        <w:t>、</w:t>
      </w:r>
      <w:r>
        <w:rPr>
          <w:rFonts w:ascii="彩虹粗仿宋" w:eastAsia="彩虹粗仿宋"/>
          <w:sz w:val="24"/>
        </w:rPr>
        <w:t>本基金</w:t>
      </w:r>
      <w:proofErr w:type="gramStart"/>
      <w:r>
        <w:rPr>
          <w:rFonts w:ascii="彩虹粗仿宋" w:eastAsia="彩虹粗仿宋"/>
          <w:sz w:val="24"/>
        </w:rPr>
        <w:t>若参</w:t>
      </w:r>
      <w:proofErr w:type="gramEnd"/>
      <w:r>
        <w:rPr>
          <w:rFonts w:ascii="彩虹粗仿宋" w:eastAsia="彩虹粗仿宋"/>
          <w:sz w:val="24"/>
        </w:rPr>
        <w:t>与国债期货交易，应当遵守下列要求：</w:t>
      </w:r>
    </w:p>
    <w:p w14:paraId="60CBCE7E"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1）本基金在任何交易日日终，持有的买入国债期货合约价值，不得超过基金资产净值的15%；</w:t>
      </w:r>
    </w:p>
    <w:p w14:paraId="05BDAC5E"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2）本基金在任何交易日日终，持有的卖出国债期货合约价值不得超过基金持有的债券总市值的30%；</w:t>
      </w:r>
    </w:p>
    <w:p w14:paraId="588A3789"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w:t>
      </w:r>
      <w:r>
        <w:rPr>
          <w:rFonts w:ascii="彩虹粗仿宋" w:eastAsia="彩虹粗仿宋"/>
          <w:sz w:val="24"/>
        </w:rPr>
        <w:t>3）本基金在任何交易日内交易（不包括平仓）的国债期货合约的成交金额不得超过上一交易日基金资产净值的30%；</w:t>
      </w:r>
    </w:p>
    <w:p w14:paraId="4981751C"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4）本基金所持有的债券（不含到期日在一年以内的政府债券）市值和买入、卖出国债期货合约价值，合计（轧差计算）应当符合基金合同关于债券投资比例的有关约定；</w:t>
      </w:r>
    </w:p>
    <w:p w14:paraId="0676940F"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1</w:t>
      </w:r>
      <w:r>
        <w:rPr>
          <w:rFonts w:ascii="彩虹粗仿宋" w:eastAsia="彩虹粗仿宋" w:hint="eastAsia"/>
          <w:sz w:val="24"/>
        </w:rPr>
        <w:t>、</w:t>
      </w:r>
      <w:r>
        <w:rPr>
          <w:rFonts w:ascii="彩虹粗仿宋" w:eastAsia="彩虹粗仿宋"/>
          <w:sz w:val="24"/>
        </w:rPr>
        <w:t>基金财产参与股票发行申购，本基金所申报的金额不超过本基金的总资产，本基金所申报的股票数量不超过拟发行股票公司本次发行股票的总量；</w:t>
      </w:r>
    </w:p>
    <w:p w14:paraId="0E1AB19C"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2</w:t>
      </w:r>
      <w:r>
        <w:rPr>
          <w:rFonts w:ascii="彩虹粗仿宋" w:eastAsia="彩虹粗仿宋" w:hint="eastAsia"/>
          <w:sz w:val="24"/>
        </w:rPr>
        <w:t>、</w:t>
      </w:r>
      <w:r>
        <w:rPr>
          <w:rFonts w:ascii="彩虹粗仿宋" w:eastAsia="彩虹粗仿宋"/>
          <w:sz w:val="24"/>
        </w:rPr>
        <w:t>本基金管理人管理的</w:t>
      </w:r>
      <w:r>
        <w:rPr>
          <w:rFonts w:ascii="彩虹粗仿宋" w:eastAsia="彩虹粗仿宋" w:hint="eastAsia"/>
          <w:sz w:val="24"/>
        </w:rPr>
        <w:t>且在本基金托管人处托管的</w:t>
      </w:r>
      <w:r>
        <w:rPr>
          <w:rFonts w:ascii="彩虹粗仿宋" w:eastAsia="彩虹粗仿宋"/>
          <w:sz w:val="24"/>
        </w:rPr>
        <w:t>全部开放式基金持有一家上市公司发行的可流通股票，不得超过该上市公司可流通股票的15%；本基金管理人管理的</w:t>
      </w:r>
      <w:r>
        <w:rPr>
          <w:rFonts w:ascii="彩虹粗仿宋" w:eastAsia="彩虹粗仿宋" w:hint="eastAsia"/>
          <w:sz w:val="24"/>
        </w:rPr>
        <w:t>且在本基金托管人处托管</w:t>
      </w:r>
      <w:r>
        <w:rPr>
          <w:rFonts w:ascii="彩虹粗仿宋" w:hint="eastAsia"/>
          <w:sz w:val="24"/>
        </w:rPr>
        <w:t>的</w:t>
      </w:r>
      <w:r>
        <w:rPr>
          <w:rFonts w:ascii="彩虹粗仿宋" w:eastAsia="彩虹粗仿宋"/>
          <w:sz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11C5CF4"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3</w:t>
      </w:r>
      <w:r>
        <w:rPr>
          <w:rFonts w:ascii="彩虹粗仿宋" w:eastAsia="彩虹粗仿宋" w:hint="eastAsia"/>
          <w:sz w:val="24"/>
        </w:rPr>
        <w:t>、</w:t>
      </w:r>
      <w:r>
        <w:rPr>
          <w:rFonts w:ascii="彩虹粗仿宋" w:eastAsia="彩虹粗仿宋"/>
          <w:sz w:val="24"/>
        </w:rPr>
        <w:t>本基金主动投资于流动性受限资产（含封闭运作基金、定期开放基金等流通受限基金）的市值合计不得超过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14:paraId="72C8B7D4"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4</w:t>
      </w:r>
      <w:r>
        <w:rPr>
          <w:rFonts w:ascii="彩虹粗仿宋" w:eastAsia="彩虹粗仿宋" w:hint="eastAsia"/>
          <w:sz w:val="24"/>
        </w:rPr>
        <w:t>、</w:t>
      </w:r>
      <w:r>
        <w:rPr>
          <w:rFonts w:ascii="彩虹粗仿宋" w:eastAsia="彩虹粗仿宋"/>
          <w:sz w:val="24"/>
        </w:rPr>
        <w:t>本基金资产总值不超过基金资产净值的140%；</w:t>
      </w:r>
    </w:p>
    <w:p w14:paraId="194145FD"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5</w:t>
      </w:r>
      <w:r>
        <w:rPr>
          <w:rFonts w:ascii="彩虹粗仿宋" w:eastAsia="彩虹粗仿宋" w:hint="eastAsia"/>
          <w:sz w:val="24"/>
        </w:rPr>
        <w:t>、</w:t>
      </w:r>
      <w:r>
        <w:rPr>
          <w:rFonts w:ascii="彩虹粗仿宋" w:eastAsia="彩虹粗仿宋"/>
          <w:sz w:val="24"/>
        </w:rPr>
        <w:t>本基金投资存托凭证的比例限制依照境内上市交易的股票执行，与境内上市交易的股票合并计算；</w:t>
      </w:r>
    </w:p>
    <w:p w14:paraId="5ABB5C75"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6</w:t>
      </w:r>
      <w:r>
        <w:rPr>
          <w:rFonts w:ascii="彩虹粗仿宋" w:eastAsia="彩虹粗仿宋" w:hint="eastAsia"/>
          <w:sz w:val="24"/>
        </w:rPr>
        <w:t>、</w:t>
      </w:r>
      <w:r>
        <w:rPr>
          <w:rFonts w:ascii="彩虹粗仿宋" w:eastAsia="彩虹粗仿宋"/>
          <w:sz w:val="24"/>
        </w:rPr>
        <w:t>本基金投资于经中国证监会依法核准或注册的公开募集证券投资基金的比例不超过基金资产净值的10%；</w:t>
      </w:r>
    </w:p>
    <w:p w14:paraId="60D6CB92"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7</w:t>
      </w:r>
      <w:r>
        <w:rPr>
          <w:rFonts w:ascii="彩虹粗仿宋" w:eastAsia="彩虹粗仿宋" w:hint="eastAsia"/>
          <w:sz w:val="24"/>
        </w:rPr>
        <w:t>、</w:t>
      </w:r>
      <w:r>
        <w:rPr>
          <w:rFonts w:ascii="彩虹粗仿宋" w:eastAsia="彩虹粗仿宋"/>
          <w:sz w:val="24"/>
        </w:rPr>
        <w:t>本基金不得持有基金中基金；</w:t>
      </w:r>
    </w:p>
    <w:p w14:paraId="2B4C7C6D"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sz w:val="24"/>
        </w:rPr>
        <w:t>18</w:t>
      </w:r>
      <w:r>
        <w:rPr>
          <w:rFonts w:ascii="彩虹粗仿宋" w:eastAsia="彩虹粗仿宋" w:hint="eastAsia"/>
          <w:sz w:val="24"/>
        </w:rPr>
        <w:t>、</w:t>
      </w:r>
      <w:r>
        <w:rPr>
          <w:rFonts w:ascii="彩虹粗仿宋" w:eastAsia="彩虹粗仿宋"/>
          <w:sz w:val="24"/>
        </w:rPr>
        <w:t>本基金管理人管理的</w:t>
      </w:r>
      <w:r>
        <w:rPr>
          <w:rFonts w:ascii="彩虹粗仿宋" w:eastAsia="彩虹粗仿宋" w:hint="eastAsia"/>
          <w:sz w:val="24"/>
        </w:rPr>
        <w:t>且在本基金托管人处托管的</w:t>
      </w:r>
      <w:r>
        <w:rPr>
          <w:rFonts w:ascii="彩虹粗仿宋" w:eastAsia="彩虹粗仿宋"/>
          <w:sz w:val="24"/>
        </w:rPr>
        <w:t>全部基金（ETF联接基金除外）持有单只基金不得超过被投资基金净资产的20%，被投资基金净资产规模以最近定期报告披露的规模为准；因证券/期货市场波动、基金规模变动、本基金所投资的基金发生流动性限制、暂停申购、赎回或二级市场交易停牌等基金管理人之外的因素致使基金投资不符合前述所规定比例限制的，基金管理人应当在相关基金可交易的20个交易日内进行调整，但中国证监会规定的特殊情形除外；</w:t>
      </w:r>
    </w:p>
    <w:p w14:paraId="304E3A04"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sz w:val="24"/>
        </w:rPr>
        <w:t>19</w:t>
      </w:r>
      <w:r>
        <w:rPr>
          <w:rFonts w:ascii="彩虹粗仿宋" w:eastAsia="彩虹粗仿宋" w:hint="eastAsia"/>
          <w:sz w:val="24"/>
        </w:rPr>
        <w:t>、</w:t>
      </w:r>
      <w:r>
        <w:rPr>
          <w:rFonts w:ascii="彩虹粗仿宋" w:eastAsia="彩虹粗仿宋"/>
          <w:sz w:val="24"/>
        </w:rPr>
        <w:t>本基金不得持有具有复杂、衍生品性质的基金份额；</w:t>
      </w:r>
    </w:p>
    <w:p w14:paraId="44146BD1"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0</w:t>
      </w:r>
      <w:r>
        <w:rPr>
          <w:rFonts w:ascii="彩虹粗仿宋" w:eastAsia="彩虹粗仿宋" w:hint="eastAsia"/>
          <w:sz w:val="24"/>
        </w:rPr>
        <w:t>、</w:t>
      </w:r>
      <w:r>
        <w:rPr>
          <w:rFonts w:ascii="彩虹粗仿宋" w:eastAsia="彩虹粗仿宋"/>
          <w:sz w:val="24"/>
        </w:rPr>
        <w:t>本基金投资其他基金时，被投资基金的运作期限应当不少于1年，最近定期报告披露的基金净资产应当不低于1亿元；</w:t>
      </w:r>
    </w:p>
    <w:p w14:paraId="5E790BE3"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1</w:t>
      </w:r>
      <w:r>
        <w:rPr>
          <w:rFonts w:ascii="彩虹粗仿宋" w:eastAsia="彩虹粗仿宋" w:hint="eastAsia"/>
          <w:sz w:val="24"/>
        </w:rPr>
        <w:t>、</w:t>
      </w:r>
      <w:r>
        <w:rPr>
          <w:rFonts w:ascii="彩虹粗仿宋" w:eastAsia="彩虹粗仿宋"/>
          <w:sz w:val="24"/>
        </w:rPr>
        <w:t>法律法规及中国证监会规定的和《基金合同》约定的其他投资限制。</w:t>
      </w:r>
    </w:p>
    <w:p w14:paraId="64C9F0EF"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除上述第</w:t>
      </w:r>
      <w:r>
        <w:rPr>
          <w:rFonts w:ascii="彩虹粗仿宋" w:eastAsia="彩虹粗仿宋"/>
          <w:sz w:val="24"/>
        </w:rPr>
        <w:t>3、13、18项情形之外，因证券/期货市场波动、证券发行人合并、基金规模变动等基金管理人之外的因素致使基金投资比例不符合上述规定投资比例的，基金管理人应当在相关证券或基金可交易的10个交易日内进行调整，但中国证监会规定的特殊情形除外。法律法规另有规定的从其规定。</w:t>
      </w:r>
    </w:p>
    <w:p w14:paraId="322CE920"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w:t>
      </w:r>
      <w:r>
        <w:rPr>
          <w:rFonts w:ascii="彩虹粗仿宋" w:eastAsia="彩虹粗仿宋"/>
          <w:sz w:val="24"/>
        </w:rPr>
        <w:t>6个月内使基金的投资组合比例符合基金合同的有关约定。在上述期间内，本基金的投资范围、投资策略应当符合基金合同的约定。基金托管人对基金投资的监督与检查自基金合同生效之日起开始。</w:t>
      </w:r>
    </w:p>
    <w:p w14:paraId="5A69862C"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法律法规或监管部门取消或变更上述限制，如适用于本基金，基金管理人在履行适当程序后，则本基金投资不再受相关限制或以变更后的规定为准，无需召开基金份额持有人大会审议。</w:t>
      </w:r>
    </w:p>
    <w:p w14:paraId="1106D0D8" w14:textId="77777777" w:rsidR="00B964D2" w:rsidRDefault="00BE1CEF">
      <w:pPr>
        <w:adjustRightInd w:val="0"/>
        <w:snapToGrid w:val="0"/>
        <w:ind w:firstLineChars="200" w:firstLine="480"/>
        <w:rPr>
          <w:rFonts w:ascii="彩虹粗仿宋" w:eastAsia="彩虹粗仿宋"/>
          <w:i/>
          <w:sz w:val="24"/>
        </w:rPr>
      </w:pPr>
      <w:r>
        <w:rPr>
          <w:rFonts w:ascii="彩虹粗仿宋" w:eastAsia="彩虹粗仿宋" w:hint="eastAsia"/>
          <w:sz w:val="24"/>
        </w:rPr>
        <w:lastRenderedPageBreak/>
        <w:t>本基金在开始进行国债期货投资之前，应与基金托管人、期货公司三方</w:t>
      </w:r>
      <w:proofErr w:type="gramStart"/>
      <w:r>
        <w:rPr>
          <w:rFonts w:ascii="彩虹粗仿宋" w:eastAsia="彩虹粗仿宋" w:hint="eastAsia"/>
          <w:sz w:val="24"/>
        </w:rPr>
        <w:t>一同就</w:t>
      </w:r>
      <w:proofErr w:type="gramEnd"/>
      <w:r>
        <w:rPr>
          <w:rFonts w:ascii="彩虹粗仿宋" w:eastAsia="彩虹粗仿宋" w:hint="eastAsia"/>
          <w:sz w:val="24"/>
        </w:rPr>
        <w:t>期货开户、清算、估值、交收等事宜另行签署《期货投资托管操作三方备忘录》。</w:t>
      </w:r>
    </w:p>
    <w:p w14:paraId="4D86B55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4" w:name="OLE_LINK1"/>
      <w:r>
        <w:rPr>
          <w:rFonts w:ascii="彩虹粗仿宋" w:eastAsia="彩虹粗仿宋" w:hAnsi="宋体" w:cs="Arial" w:hint="eastAsia"/>
          <w:sz w:val="24"/>
        </w:rPr>
        <w:t>根据有关法律法规的规定及《基金合同》的约定，</w:t>
      </w:r>
      <w:bookmarkEnd w:id="4"/>
      <w:r>
        <w:rPr>
          <w:rFonts w:ascii="彩虹粗仿宋" w:eastAsia="彩虹粗仿宋" w:hAnsi="宋体" w:cs="Arial" w:hint="eastAsia"/>
          <w:sz w:val="24"/>
        </w:rPr>
        <w:t>对本托管协议第十五条第（九）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53D3556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65BCCC6" w14:textId="77777777" w:rsidR="00B964D2" w:rsidRDefault="00BE1CEF">
      <w:pPr>
        <w:adjustRightInd w:val="0"/>
        <w:snapToGrid w:val="0"/>
        <w:ind w:firstLineChars="200" w:firstLine="480"/>
        <w:rPr>
          <w:rFonts w:ascii="彩虹粗仿宋" w:eastAsia="彩虹粗仿宋" w:hAnsi="宋体"/>
          <w:sz w:val="24"/>
        </w:rPr>
      </w:pPr>
      <w:r>
        <w:rPr>
          <w:rFonts w:ascii="彩虹粗仿宋" w:eastAsia="彩虹粗仿宋" w:hAnsi="宋体" w:hint="eastAsia"/>
          <w:sz w:val="24"/>
        </w:rPr>
        <w:t>本基金投资基金管理人或基金管理人关联方管理基金的情况，不属于前述重大关联交易。</w:t>
      </w:r>
    </w:p>
    <w:p w14:paraId="30FE99D8" w14:textId="77777777" w:rsidR="00B964D2" w:rsidRDefault="00BE1CEF">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法律、行政法规或监管部门取消或变更上述限制，如适用于本基金，基金管理人在履行适当程序后，则本基金投资不再受相关限制或按变更后的规定执行。</w:t>
      </w:r>
    </w:p>
    <w:p w14:paraId="78FD34F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24E715F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5042A455"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int="eastAsia"/>
          <w:sz w:val="24"/>
        </w:rPr>
        <w:t>券</w:t>
      </w:r>
      <w:proofErr w:type="gramEnd"/>
      <w:r>
        <w:rPr>
          <w:rFonts w:ascii="彩虹粗仿宋" w:eastAsia="彩虹粗仿宋" w:hint="eastAsia"/>
          <w:sz w:val="24"/>
        </w:rPr>
        <w:t>等流通受限证券。本基金不投资有</w:t>
      </w:r>
      <w:proofErr w:type="gramStart"/>
      <w:r>
        <w:rPr>
          <w:rFonts w:ascii="彩虹粗仿宋" w:eastAsia="彩虹粗仿宋" w:hint="eastAsia"/>
          <w:sz w:val="24"/>
        </w:rPr>
        <w:t>锁定期但锁定</w:t>
      </w:r>
      <w:proofErr w:type="gramEnd"/>
      <w:r>
        <w:rPr>
          <w:rFonts w:ascii="彩虹粗仿宋" w:eastAsia="彩虹粗仿宋" w:hint="eastAsia"/>
          <w:sz w:val="24"/>
        </w:rPr>
        <w:t>期不明确的证券。</w:t>
      </w:r>
    </w:p>
    <w:p w14:paraId="27A7378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550A3066" w14:textId="77777777" w:rsidR="00B964D2" w:rsidRDefault="00BE1CEF">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Pr>
          <w:rFonts w:ascii="彩虹粗仿宋" w:eastAsia="彩虹粗仿宋" w:hint="eastAsia"/>
          <w:sz w:val="24"/>
        </w:rPr>
        <w:t>人原因</w:t>
      </w:r>
      <w:proofErr w:type="gramEnd"/>
      <w:r>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02EFAAA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本基金投资流通受限证券，不得预付任何形式的保证金，若有最新法律法规、监管政策变更规定的，根据最新法律法规、监管政策执行。</w:t>
      </w:r>
    </w:p>
    <w:p w14:paraId="3F7263D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226E130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导致本基金出现损失致使基金托管人承担连带赔偿责任的，基金管理人应赔偿基金托</w:t>
      </w:r>
      <w:r>
        <w:rPr>
          <w:rFonts w:ascii="彩虹粗仿宋" w:eastAsia="彩虹粗仿宋" w:hAnsi="宋体" w:cs="Arial" w:hint="eastAsia"/>
          <w:sz w:val="24"/>
        </w:rPr>
        <w:lastRenderedPageBreak/>
        <w:t>管人由此遭受的损失。</w:t>
      </w:r>
    </w:p>
    <w:p w14:paraId="73DC695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9C286E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（1）中国证监会批准发行非公开发行股票的批准文件。</w:t>
      </w:r>
    </w:p>
    <w:p w14:paraId="66BEF4D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14:paraId="78FDB5F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w:t>
      </w:r>
      <w:r>
        <w:rPr>
          <w:rFonts w:ascii="彩虹粗仿宋" w:eastAsia="彩虹粗仿宋" w:hAnsi="宋体" w:cs="Arial" w:hint="eastAsia"/>
          <w:sz w:val="24"/>
        </w:rPr>
        <w:t>）基金拟认购的数量、价格、总成本、账面价值。</w:t>
      </w:r>
    </w:p>
    <w:p w14:paraId="383B78D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5C977FF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本基金有关投资流通受限证券比例如违反有关限制规定，在合理期限内未能进行及时调整，基金管理人应在两日内编制临时报告书，予以公告。</w:t>
      </w:r>
    </w:p>
    <w:p w14:paraId="16C3FC2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.相关法律法规对基金投资流通受限证券有新规定的，从其规定。</w:t>
      </w:r>
    </w:p>
    <w:p w14:paraId="09E5B7C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CC81ED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453036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FB576B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1F97C8C2"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1CFD8D93" w14:textId="77777777" w:rsidR="00B964D2" w:rsidRDefault="00B964D2">
      <w:pPr>
        <w:rPr>
          <w:rFonts w:ascii="彩虹粗仿宋" w:eastAsia="彩虹粗仿宋"/>
          <w:sz w:val="24"/>
        </w:rPr>
      </w:pPr>
    </w:p>
    <w:p w14:paraId="462D04BD" w14:textId="77777777" w:rsidR="00B964D2" w:rsidRDefault="00BE1CEF">
      <w:pPr>
        <w:pStyle w:val="2"/>
        <w:jc w:val="center"/>
        <w:rPr>
          <w:rFonts w:ascii="彩虹粗仿宋" w:eastAsia="彩虹粗仿宋"/>
          <w:sz w:val="30"/>
        </w:rPr>
      </w:pPr>
      <w:bookmarkStart w:id="5" w:name="_Toc110830492"/>
      <w:bookmarkStart w:id="6" w:name="_Toc119402710"/>
      <w:bookmarkStart w:id="7" w:name="_Toc124325888"/>
      <w:bookmarkStart w:id="8" w:name="_Toc118972648"/>
      <w:bookmarkStart w:id="9" w:name="_Toc120435783"/>
      <w:bookmarkStart w:id="10" w:name="_Toc110765660"/>
      <w:bookmarkStart w:id="11" w:name="_Toc118212950"/>
      <w:bookmarkStart w:id="12" w:name="_Toc86727355"/>
      <w:bookmarkStart w:id="13" w:name="_Toc86649722"/>
      <w:bookmarkStart w:id="14" w:name="_Toc86737929"/>
      <w:bookmarkStart w:id="15" w:name="_Toc86225291"/>
      <w:bookmarkStart w:id="16" w:name="_Toc110761796"/>
      <w:bookmarkStart w:id="17" w:name="_Toc108512358"/>
      <w:bookmarkStart w:id="18" w:name="_Toc89163368"/>
      <w:bookmarkStart w:id="19" w:name="_Toc86726439"/>
      <w:bookmarkStart w:id="20" w:name="_Toc86223242"/>
      <w:bookmarkStart w:id="21" w:name="_Toc118774803"/>
      <w:r>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81B935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w:t>
      </w:r>
      <w:r>
        <w:rPr>
          <w:rFonts w:ascii="彩虹粗仿宋" w:eastAsia="彩虹粗仿宋" w:hAnsi="宋体" w:cs="Arial" w:hint="eastAsia"/>
          <w:sz w:val="24"/>
        </w:rPr>
        <w:lastRenderedPageBreak/>
        <w:t>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64EF36E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或其他双方认可的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14:paraId="481B449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9243A69" w14:textId="77777777" w:rsidR="00B964D2" w:rsidRDefault="00B964D2">
      <w:pPr>
        <w:rPr>
          <w:rFonts w:ascii="彩虹粗仿宋" w:eastAsia="彩虹粗仿宋"/>
          <w:sz w:val="24"/>
        </w:rPr>
      </w:pPr>
    </w:p>
    <w:p w14:paraId="5DE1C641" w14:textId="77777777" w:rsidR="00B964D2" w:rsidRDefault="00BE1CEF">
      <w:pPr>
        <w:pStyle w:val="2"/>
        <w:jc w:val="center"/>
        <w:rPr>
          <w:rFonts w:ascii="彩虹粗仿宋" w:eastAsia="彩虹粗仿宋"/>
          <w:sz w:val="30"/>
        </w:rPr>
      </w:pPr>
      <w:bookmarkStart w:id="22" w:name="_Toc120435784"/>
      <w:bookmarkStart w:id="23" w:name="_Toc110765661"/>
      <w:bookmarkStart w:id="24" w:name="_Toc110761797"/>
      <w:bookmarkStart w:id="25" w:name="_Toc86223243"/>
      <w:bookmarkStart w:id="26" w:name="_Toc118972649"/>
      <w:bookmarkStart w:id="27" w:name="_Toc86225292"/>
      <w:bookmarkStart w:id="28" w:name="_Toc86726440"/>
      <w:bookmarkStart w:id="29" w:name="_Toc119402711"/>
      <w:bookmarkStart w:id="30" w:name="_Toc84234435"/>
      <w:bookmarkStart w:id="31" w:name="_Toc86649723"/>
      <w:bookmarkStart w:id="32" w:name="_Toc110830493"/>
      <w:bookmarkStart w:id="33" w:name="_Toc84234388"/>
      <w:bookmarkStart w:id="34" w:name="_Toc84133786"/>
      <w:bookmarkStart w:id="35" w:name="_Toc86737930"/>
      <w:bookmarkStart w:id="36" w:name="_Toc118212951"/>
      <w:bookmarkStart w:id="37" w:name="_Toc86204789"/>
      <w:bookmarkStart w:id="38" w:name="_Toc86727356"/>
      <w:bookmarkStart w:id="39" w:name="_Toc108512359"/>
      <w:bookmarkStart w:id="40" w:name="_Toc118774804"/>
      <w:bookmarkStart w:id="41" w:name="_Toc124325889"/>
      <w:bookmarkStart w:id="42" w:name="_Toc89163369"/>
      <w:r>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97F8BF9"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6D29998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6FF4F57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2378B882"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3、基金托管人按照规定开设基金财产的资金账户、证券账户等投资所需账户。</w:t>
      </w:r>
    </w:p>
    <w:p w14:paraId="694B1F94"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02074E21"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6D4D07E6"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对此不承担任何责任。</w:t>
      </w:r>
    </w:p>
    <w:p w14:paraId="3F35007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6F5E993C"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1B2976C1"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20BD8994"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w:t>
      </w:r>
      <w:r>
        <w:rPr>
          <w:rFonts w:ascii="彩虹粗仿宋" w:eastAsia="彩虹粗仿宋" w:hAnsi="宋体" w:cs="Arial" w:hint="eastAsia"/>
          <w:sz w:val="24"/>
        </w:rPr>
        <w:lastRenderedPageBreak/>
        <w:t>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w:t>
      </w:r>
    </w:p>
    <w:p w14:paraId="2253C6D6"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募集期限届满，未能达到《基金合同》生效的条件，由基金管理人按规定办理退款等事宜，基金托管人应给予必要的协助与配合。</w:t>
      </w:r>
    </w:p>
    <w:p w14:paraId="02FFD1F1"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2B25C7F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1、基金托管人应以基金的名义在其营业机构开立基金的托管资金账户，并根据基金管理人合法合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14:paraId="63763304"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2、基金托管资金账户的开立和使用，限于满足开展本基金业务的需要。基金托管人和基金管理人不得假借本基金的名义开立任何其他托管资金账户；亦不得使用基金的任何账户进行本基金业务以外的活动。</w:t>
      </w:r>
    </w:p>
    <w:p w14:paraId="489005D5"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3、基金托管资金账户的开立和管理应符合法律法规和银行业监督管理机构的有关规定。</w:t>
      </w:r>
    </w:p>
    <w:p w14:paraId="583C8D0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25FA23E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5、基金管理人应于基金清算后及时完成收益兑付、费用结清及其他应收应付款项资金划转，在确保后续不再发生款项进出后的10个工作日内向基金托管人发出销户申请。</w:t>
      </w:r>
    </w:p>
    <w:p w14:paraId="0840F64B"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3F3561C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7DF4000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B2015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0BEAE0C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证券账户开户费由基金财产承担，由基金管理人先行垫付，</w:t>
      </w:r>
      <w:proofErr w:type="gramStart"/>
      <w:r>
        <w:rPr>
          <w:rFonts w:ascii="彩虹粗仿宋" w:eastAsia="彩虹粗仿宋" w:hAnsi="宋体" w:cs="Arial" w:hint="eastAsia"/>
          <w:sz w:val="24"/>
        </w:rPr>
        <w:t>待本基金</w:t>
      </w:r>
      <w:proofErr w:type="gramEnd"/>
      <w:r>
        <w:rPr>
          <w:rFonts w:ascii="彩虹粗仿宋" w:eastAsia="彩虹粗仿宋" w:hAnsi="宋体" w:cs="Arial" w:hint="eastAsia"/>
          <w:sz w:val="24"/>
        </w:rPr>
        <w:t>启始运营后，基金管理人可向基金托管人发送划款指令，将代垫开户费从本基金托管资金账户中扣还基金管理人。账户开立后，基金托管人应及时将证券账户开通信息通知基金管理人。</w:t>
      </w:r>
    </w:p>
    <w:p w14:paraId="4CBE925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46007E6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1BFDFFC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14:paraId="7A49236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62E0A253"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和资金结算专户，并代表基金进行银行间市场债券的结算。基金管理人代表基金签订全国银行间债券市场债券回购主协议。</w:t>
      </w:r>
    </w:p>
    <w:p w14:paraId="5BA5768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（六）开放式基金账户的开设和管理</w:t>
      </w:r>
    </w:p>
    <w:p w14:paraId="75BFE95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场外开放式基金账户由基金管理人根据基金公司要求填写相关资料后开立。基金管理人应指定托管资金账户作为开放式基金交易及回款的唯一结算账户。基金管理人应及时将开放式基金账户的信息发送基金托管人。</w:t>
      </w:r>
    </w:p>
    <w:p w14:paraId="6BD3B36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基金管理人选择通过机构投资者</w:t>
      </w:r>
      <w:proofErr w:type="gramStart"/>
      <w:r>
        <w:rPr>
          <w:rFonts w:ascii="彩虹粗仿宋" w:eastAsia="彩虹粗仿宋" w:hAnsi="宋体" w:cs="Arial" w:hint="eastAsia"/>
          <w:sz w:val="24"/>
        </w:rPr>
        <w:t>场外投资</w:t>
      </w:r>
      <w:proofErr w:type="gramEnd"/>
      <w:r>
        <w:rPr>
          <w:rFonts w:ascii="彩虹粗仿宋" w:eastAsia="彩虹粗仿宋" w:hAnsi="宋体" w:cs="Arial" w:hint="eastAsia"/>
          <w:sz w:val="24"/>
        </w:rPr>
        <w:t>业务平台（简称</w:t>
      </w:r>
      <w:r>
        <w:rPr>
          <w:rFonts w:ascii="彩虹粗仿宋" w:eastAsia="彩虹粗仿宋" w:hAnsi="宋体" w:cs="Arial"/>
          <w:sz w:val="24"/>
        </w:rPr>
        <w:t>"FISP"）参与开放式基金投资的，应由基金管理人在FISP系统登记产品信息（包含基金托管人信息），由基金托管人对银行账户信息进行验证。产品登记成功后，由基金管理人在线向基金销售机构提交开户申请，账户开立信息通过FISP反馈基金管理人和基金托管人。</w:t>
      </w:r>
    </w:p>
    <w:p w14:paraId="5EC03E1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（七）其他账户的开立和管理</w:t>
      </w:r>
    </w:p>
    <w:p w14:paraId="1019EBF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14:paraId="4D7D4741"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5A23661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（八）基金财产投资的有关有价凭证等的保管</w:t>
      </w:r>
    </w:p>
    <w:p w14:paraId="1B11A77A" w14:textId="77777777" w:rsidR="00B964D2" w:rsidRDefault="00BE1CEF">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w:t>
      </w:r>
      <w:proofErr w:type="gramStart"/>
      <w:r>
        <w:rPr>
          <w:rFonts w:ascii="彩虹粗仿宋" w:eastAsia="彩虹粗仿宋" w:hAnsi="宋体" w:cs="Arial" w:hint="eastAsia"/>
          <w:sz w:val="24"/>
        </w:rPr>
        <w:t>各类代保管</w:t>
      </w:r>
      <w:proofErr w:type="gramEnd"/>
      <w:r>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F52C29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（九）与基金财产有关的重大合同的保管</w:t>
      </w:r>
    </w:p>
    <w:p w14:paraId="750021CC" w14:textId="77777777" w:rsidR="00B964D2" w:rsidRDefault="00BE1CEF">
      <w:pPr>
        <w:adjustRightInd w:val="0"/>
        <w:snapToGrid w:val="0"/>
        <w:ind w:firstLineChars="200" w:firstLine="480"/>
        <w:rPr>
          <w:rFonts w:ascii="彩虹粗仿宋" w:hAnsi="宋体"/>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低于法律法规规定的最低期限。</w:t>
      </w:r>
    </w:p>
    <w:p w14:paraId="76F1A77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14:paraId="6A94FABC" w14:textId="77777777" w:rsidR="00B964D2" w:rsidRDefault="00B964D2">
      <w:pPr>
        <w:adjustRightInd w:val="0"/>
        <w:snapToGrid w:val="0"/>
        <w:ind w:firstLineChars="200" w:firstLine="600"/>
        <w:rPr>
          <w:rFonts w:ascii="彩虹粗仿宋" w:eastAsia="彩虹粗仿宋"/>
          <w:sz w:val="30"/>
          <w:szCs w:val="30"/>
        </w:rPr>
      </w:pPr>
    </w:p>
    <w:p w14:paraId="211D947C" w14:textId="77777777" w:rsidR="00B964D2" w:rsidRDefault="00B964D2">
      <w:pPr>
        <w:rPr>
          <w:rFonts w:ascii="彩虹粗仿宋" w:eastAsia="彩虹粗仿宋"/>
          <w:sz w:val="24"/>
        </w:rPr>
      </w:pPr>
    </w:p>
    <w:p w14:paraId="06D618D1" w14:textId="77777777" w:rsidR="00B964D2" w:rsidRDefault="00BE1CEF">
      <w:pPr>
        <w:pStyle w:val="2"/>
        <w:jc w:val="center"/>
        <w:rPr>
          <w:rFonts w:ascii="彩虹粗仿宋" w:eastAsia="彩虹粗仿宋"/>
          <w:sz w:val="30"/>
        </w:rPr>
      </w:pPr>
      <w:bookmarkStart w:id="43" w:name="_Toc108512360"/>
      <w:bookmarkStart w:id="44" w:name="_Toc120435785"/>
      <w:bookmarkStart w:id="45" w:name="_Toc118212952"/>
      <w:bookmarkStart w:id="46" w:name="_Toc118972650"/>
      <w:bookmarkStart w:id="47" w:name="_Toc86204790"/>
      <w:bookmarkStart w:id="48" w:name="_Toc86737931"/>
      <w:bookmarkStart w:id="49" w:name="_Toc110761798"/>
      <w:bookmarkStart w:id="50" w:name="_Toc86727357"/>
      <w:bookmarkStart w:id="51" w:name="_Toc84234436"/>
      <w:bookmarkStart w:id="52" w:name="_Toc86649724"/>
      <w:bookmarkStart w:id="53" w:name="_Toc86726441"/>
      <w:bookmarkStart w:id="54" w:name="_Toc118774805"/>
      <w:bookmarkStart w:id="55" w:name="_Toc89163370"/>
      <w:bookmarkStart w:id="56" w:name="_Toc84234389"/>
      <w:bookmarkStart w:id="57" w:name="_Toc86225293"/>
      <w:bookmarkStart w:id="58" w:name="_Toc119402712"/>
      <w:bookmarkStart w:id="59" w:name="_Toc110830494"/>
      <w:bookmarkStart w:id="60" w:name="_Toc124325890"/>
      <w:bookmarkStart w:id="61" w:name="_Toc86223244"/>
      <w:bookmarkStart w:id="62" w:name="_Toc110765662"/>
      <w:bookmarkStart w:id="63" w:name="_Toc84133787"/>
      <w:r>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E82AD24"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639262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69798B78"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1、基金管理人应指定专人向基金托管人发送指令。</w:t>
      </w:r>
    </w:p>
    <w:p w14:paraId="76E86A9C"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4D4ED1B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63D03AC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66D158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61DFBF52"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FBBA07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2、基金管理人发给基金托管人的指令应写明款项事由、支付时间、到账时间、金额、收付款账户等，加盖预留印鉴并由被授权人签字或盖章。</w:t>
      </w:r>
    </w:p>
    <w:p w14:paraId="3C08538B"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2679D291"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2A8FBAB3"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66FA3D71"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0FF246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2913FEC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7F21F341"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书面通知基金托管人。</w:t>
      </w:r>
    </w:p>
    <w:p w14:paraId="7EBCF80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283192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6A69B2E1" w14:textId="77777777" w:rsidR="00B964D2" w:rsidRDefault="00BE1CEF">
      <w:pPr>
        <w:pStyle w:val="a6"/>
        <w:spacing w:line="240" w:lineRule="auto"/>
        <w:ind w:firstLineChars="0"/>
        <w:rPr>
          <w:rFonts w:ascii="彩虹粗仿宋" w:eastAsia="彩虹粗仿宋" w:hAnsi="宋体" w:cs="Arial"/>
          <w:szCs w:val="24"/>
          <w:shd w:val="pct15"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74005247" w14:textId="77777777" w:rsidR="00B964D2" w:rsidRDefault="00BE1CEF">
      <w:pPr>
        <w:pStyle w:val="a6"/>
        <w:spacing w:line="240" w:lineRule="auto"/>
        <w:ind w:firstLineChars="0"/>
        <w:rPr>
          <w:rFonts w:ascii="彩虹粗仿宋" w:eastAsia="彩虹粗仿宋" w:hAnsi="宋体" w:cs="Arial"/>
        </w:rPr>
      </w:pPr>
      <w:r>
        <w:rPr>
          <w:rFonts w:ascii="彩虹粗仿宋" w:eastAsia="彩虹粗仿宋" w:hAnsi="宋体" w:cs="Arial" w:hint="eastAsia"/>
        </w:rPr>
        <w:lastRenderedPageBreak/>
        <w:t>（四）基金管理人发送错误指令的情形和处理程序</w:t>
      </w:r>
    </w:p>
    <w:p w14:paraId="4B61674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229AEE6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基金托管人发现基金管理人的指令错误时，有权视情况暂缓或拒绝执行，并及时通知基金管理人改正。如需托管人撤销尚未执行的指令，基金管理人应出具作废指令或作废说明，并电话通知托管人。</w:t>
      </w:r>
    </w:p>
    <w:p w14:paraId="34414DE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48555FD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0E4BAB28"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（六）更换被授权人的程序</w:t>
      </w:r>
    </w:p>
    <w:p w14:paraId="07F1D96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在邮件发出后七个工作日内送达基金托管</w:t>
      </w:r>
      <w:proofErr w:type="gramStart"/>
      <w:r>
        <w:rPr>
          <w:rFonts w:ascii="彩虹粗仿宋" w:eastAsia="彩虹粗仿宋" w:hAnsi="宋体" w:cs="Arial" w:hint="eastAsia"/>
          <w:sz w:val="24"/>
        </w:rPr>
        <w:t>人文件</w:t>
      </w:r>
      <w:proofErr w:type="gramEnd"/>
      <w:r>
        <w:rPr>
          <w:rFonts w:ascii="彩虹粗仿宋" w:eastAsia="彩虹粗仿宋" w:hAnsi="宋体" w:cs="Arial" w:hint="eastAsia"/>
          <w:sz w:val="24"/>
        </w:rPr>
        <w:t>正本。新的授权文件生效之后，正本送达之前，基金托管人按照新的授权文件扫描</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执行有关业务，如果新的授权文件正本与扫描</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w:t>
      </w:r>
      <w:r>
        <w:rPr>
          <w:rFonts w:ascii="彩虹粗仿宋" w:eastAsia="彩虹粗仿宋" w:hAnsi="宋体" w:cs="Arial"/>
          <w:sz w:val="24"/>
        </w:rPr>
        <w:t>传真号或邮箱地址，应提前通知基金管理人</w:t>
      </w:r>
      <w:r>
        <w:rPr>
          <w:rFonts w:ascii="彩虹粗仿宋" w:eastAsia="彩虹粗仿宋" w:hAnsi="宋体" w:cs="Arial" w:hint="eastAsia"/>
          <w:sz w:val="24"/>
        </w:rPr>
        <w:t>。</w:t>
      </w:r>
    </w:p>
    <w:p w14:paraId="642DFCE9"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14:paraId="534C7533"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3738F75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F75F8A9" w14:textId="77777777" w:rsidR="00B964D2" w:rsidRDefault="00B964D2">
      <w:pPr>
        <w:adjustRightInd w:val="0"/>
        <w:snapToGrid w:val="0"/>
        <w:rPr>
          <w:rFonts w:ascii="彩虹粗仿宋" w:eastAsia="彩虹粗仿宋" w:hAnsi="宋体" w:cs="Arial"/>
          <w:sz w:val="24"/>
        </w:rPr>
      </w:pPr>
    </w:p>
    <w:p w14:paraId="0BD13162" w14:textId="77777777" w:rsidR="00B964D2" w:rsidRDefault="00BE1CEF">
      <w:pPr>
        <w:pStyle w:val="2"/>
        <w:jc w:val="center"/>
        <w:rPr>
          <w:rFonts w:ascii="彩虹粗仿宋" w:eastAsia="彩虹粗仿宋"/>
          <w:sz w:val="30"/>
        </w:rPr>
      </w:pPr>
      <w:bookmarkStart w:id="64" w:name="_Toc86727358"/>
      <w:bookmarkStart w:id="65" w:name="_Toc84234390"/>
      <w:bookmarkStart w:id="66" w:name="_Toc118212953"/>
      <w:bookmarkStart w:id="67" w:name="_Toc89163371"/>
      <w:bookmarkStart w:id="68" w:name="_Toc84234437"/>
      <w:bookmarkStart w:id="69" w:name="_Toc86225294"/>
      <w:bookmarkStart w:id="70" w:name="_Toc86204791"/>
      <w:bookmarkStart w:id="71" w:name="_Toc86223245"/>
      <w:bookmarkStart w:id="72" w:name="_Toc86649725"/>
      <w:bookmarkStart w:id="73" w:name="_Toc119402713"/>
      <w:bookmarkStart w:id="74" w:name="_Toc108512361"/>
      <w:bookmarkStart w:id="75" w:name="_Toc118972651"/>
      <w:bookmarkStart w:id="76" w:name="_Toc110765663"/>
      <w:bookmarkStart w:id="77" w:name="_Toc120435786"/>
      <w:bookmarkStart w:id="78" w:name="_Toc86737932"/>
      <w:bookmarkStart w:id="79" w:name="_Toc86726442"/>
      <w:bookmarkStart w:id="80" w:name="_Toc110830495"/>
      <w:bookmarkStart w:id="81" w:name="_Toc118774806"/>
      <w:bookmarkStart w:id="82" w:name="_Toc124325891"/>
      <w:bookmarkStart w:id="83" w:name="_Toc110761799"/>
      <w:bookmarkStart w:id="84" w:name="_Toc84133788"/>
      <w:r>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C1B9B8C"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w:t>
      </w:r>
      <w:r>
        <w:rPr>
          <w:rFonts w:ascii="彩虹粗仿宋" w:eastAsia="彩虹粗仿宋" w:hAnsi="宋体" w:hint="eastAsia"/>
          <w:bCs/>
          <w:sz w:val="24"/>
        </w:rPr>
        <w:t>（含港股通）</w:t>
      </w:r>
      <w:r>
        <w:rPr>
          <w:rFonts w:ascii="彩虹粗仿宋" w:eastAsia="彩虹粗仿宋" w:hAnsi="宋体" w:cs="Arial" w:hint="eastAsia"/>
          <w:sz w:val="24"/>
        </w:rPr>
        <w:t>业务中的程序与责任。协议签署前，基金管理人应按基金托管人要求配合提供相应准入材料。</w:t>
      </w:r>
    </w:p>
    <w:p w14:paraId="1F02F1E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基金管理人、基金托管人应遵守本协议下述（一）和（二）之约定。</w:t>
      </w:r>
    </w:p>
    <w:p w14:paraId="736022B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（一）选择证券、期货买卖的证券经营机构、期货经纪机构</w:t>
      </w:r>
    </w:p>
    <w:p w14:paraId="4A2197F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05CF700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w:t>
      </w:r>
      <w:r>
        <w:rPr>
          <w:rFonts w:ascii="彩虹粗仿宋" w:eastAsia="彩虹粗仿宋" w:hAnsi="宋体" w:cs="Arial" w:hint="eastAsia"/>
          <w:sz w:val="24"/>
        </w:rPr>
        <w:lastRenderedPageBreak/>
        <w:t>的，可参照有关证券买卖、证券经纪机构选择的规则进行。本基金在投资期货产品前，基金管理人、期货经纪机构应与基金托管人签订</w:t>
      </w:r>
      <w:r>
        <w:rPr>
          <w:rFonts w:ascii="彩虹粗仿宋" w:eastAsia="彩虹粗仿宋" w:hint="eastAsia"/>
          <w:sz w:val="24"/>
        </w:rPr>
        <w:t>《期货投资托管操作三方备忘录》</w:t>
      </w:r>
      <w:r>
        <w:rPr>
          <w:rFonts w:ascii="彩虹粗仿宋" w:eastAsia="彩虹粗仿宋" w:hAnsi="宋体" w:cs="Arial" w:hint="eastAsia"/>
          <w:sz w:val="24"/>
        </w:rPr>
        <w:t>。</w:t>
      </w:r>
    </w:p>
    <w:p w14:paraId="020A07E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74484E4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1、结算备付金与保证金</w:t>
      </w:r>
    </w:p>
    <w:p w14:paraId="7517D80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中国证券登记结算有限责任公司分别于每月前6个交易日及每月前</w:t>
      </w:r>
      <w:r>
        <w:rPr>
          <w:rFonts w:ascii="彩虹粗仿宋" w:eastAsia="彩虹粗仿宋" w:hAnsi="宋体" w:cs="Arial"/>
          <w:sz w:val="24"/>
        </w:rPr>
        <w:t>3</w:t>
      </w:r>
      <w:r>
        <w:rPr>
          <w:rFonts w:ascii="彩虹粗仿宋" w:eastAsia="彩虹粗仿宋" w:hAnsi="宋体" w:cs="Arial" w:hint="eastAsia"/>
          <w:sz w:val="24"/>
        </w:rPr>
        <w:t>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14:paraId="46F917F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Pr>
          <w:rFonts w:ascii="彩虹粗仿宋" w:eastAsia="彩虹粗仿宋" w:hAnsi="宋体" w:cs="Arial" w:hint="eastAsia"/>
          <w:sz w:val="24"/>
        </w:rPr>
        <w:t>视基金</w:t>
      </w:r>
      <w:proofErr w:type="gramEnd"/>
      <w:r>
        <w:rPr>
          <w:rFonts w:ascii="彩虹粗仿宋" w:eastAsia="彩虹粗仿宋" w:hAnsi="宋体" w:cs="Arial" w:hint="eastAsia"/>
          <w:sz w:val="24"/>
        </w:rPr>
        <w:t>托管人最低结算备付金比例计收方式分别于下列时点补足透支金额：</w:t>
      </w:r>
    </w:p>
    <w:p w14:paraId="482FAD0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（1）固定备付金比例计收方式下，基金管理人应在调整最低备付金、结算保证金当日上午11：00之前补足金额。</w:t>
      </w:r>
    </w:p>
    <w:p w14:paraId="4F3C688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w:t>
      </w:r>
      <w:proofErr w:type="gramStart"/>
      <w:r>
        <w:rPr>
          <w:rFonts w:ascii="彩虹粗仿宋" w:eastAsia="彩虹粗仿宋" w:hAnsi="宋体" w:cs="Arial" w:hint="eastAsia"/>
          <w:sz w:val="24"/>
        </w:rPr>
        <w:t>交收日上午</w:t>
      </w:r>
      <w:proofErr w:type="gramEnd"/>
      <w:r>
        <w:rPr>
          <w:rFonts w:ascii="彩虹粗仿宋" w:eastAsia="彩虹粗仿宋" w:hAnsi="宋体" w:cs="Arial" w:hint="eastAsia"/>
          <w:sz w:val="24"/>
        </w:rPr>
        <w:t>8：30前补足金额。</w:t>
      </w:r>
    </w:p>
    <w:p w14:paraId="55DDDB58"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、清算交收</w:t>
      </w:r>
    </w:p>
    <w:p w14:paraId="16E7158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A308FF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但因中国人民银行、中国证券登记结算有限责任公司和银行间市场登记结算机构资金结算系统以及其他机构的结算系统发生故障等</w:t>
      </w:r>
      <w:proofErr w:type="gramStart"/>
      <w:r>
        <w:rPr>
          <w:rFonts w:ascii="彩虹粗仿宋" w:eastAsia="彩虹粗仿宋" w:hAnsi="宋体" w:cs="Arial" w:hint="eastAsia"/>
          <w:sz w:val="24"/>
        </w:rPr>
        <w:t>非基金</w:t>
      </w:r>
      <w:proofErr w:type="gramEnd"/>
      <w:r>
        <w:rPr>
          <w:rFonts w:ascii="彩虹粗仿宋" w:eastAsia="彩虹粗仿宋" w:hAnsi="宋体" w:cs="Arial" w:hint="eastAsia"/>
          <w:sz w:val="24"/>
        </w:rPr>
        <w:t>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18776F0B" w14:textId="77777777" w:rsidR="00B964D2" w:rsidRDefault="00BE1CEF">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w:t>
      </w:r>
      <w:proofErr w:type="gramStart"/>
      <w:r>
        <w:rPr>
          <w:rFonts w:ascii="彩虹粗仿宋" w:eastAsia="彩虹粗仿宋" w:hAnsi="宋体" w:cs="宋体" w:hint="eastAsia"/>
          <w:color w:val="000000"/>
          <w:kern w:val="0"/>
          <w:sz w:val="24"/>
        </w:rPr>
        <w:t>视基金</w:t>
      </w:r>
      <w:proofErr w:type="gramEnd"/>
      <w:r>
        <w:rPr>
          <w:rFonts w:ascii="彩虹粗仿宋" w:eastAsia="彩虹粗仿宋" w:hAnsi="宋体" w:cs="宋体" w:hint="eastAsia"/>
          <w:color w:val="000000"/>
          <w:kern w:val="0"/>
          <w:sz w:val="24"/>
        </w:rPr>
        <w:t>托管人最低结算备付金比例计收方式分别于下列时点补足透支金额：</w:t>
      </w:r>
    </w:p>
    <w:p w14:paraId="4572420D" w14:textId="77777777" w:rsidR="00B964D2" w:rsidRDefault="00BE1CEF">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（1）固定备付金比例计收方式下，基金管理人应最晚于资金</w:t>
      </w:r>
      <w:proofErr w:type="gramStart"/>
      <w:r>
        <w:rPr>
          <w:rFonts w:ascii="彩虹粗仿宋" w:eastAsia="彩虹粗仿宋" w:hAnsi="宋体" w:cs="宋体" w:hint="eastAsia"/>
          <w:color w:val="000000"/>
          <w:kern w:val="0"/>
          <w:sz w:val="24"/>
        </w:rPr>
        <w:t>交收日上午</w:t>
      </w:r>
      <w:proofErr w:type="gramEnd"/>
      <w:r>
        <w:rPr>
          <w:rFonts w:ascii="彩虹粗仿宋" w:eastAsia="彩虹粗仿宋" w:hAnsi="宋体" w:cs="宋体" w:hint="eastAsia"/>
          <w:color w:val="000000"/>
          <w:kern w:val="0"/>
          <w:sz w:val="24"/>
        </w:rPr>
        <w:t>11：00前补足金额。</w:t>
      </w:r>
    </w:p>
    <w:p w14:paraId="02C5E8FC" w14:textId="77777777" w:rsidR="00B964D2" w:rsidRDefault="00BE1CEF">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（2）差异化备付金比例计收方式下，基金管理人应最晚于资金</w:t>
      </w:r>
      <w:proofErr w:type="gramStart"/>
      <w:r>
        <w:rPr>
          <w:rFonts w:ascii="彩虹粗仿宋" w:eastAsia="彩虹粗仿宋" w:hAnsi="宋体" w:cs="宋体" w:hint="eastAsia"/>
          <w:color w:val="000000"/>
          <w:kern w:val="0"/>
          <w:sz w:val="24"/>
        </w:rPr>
        <w:t>交收日上午</w:t>
      </w:r>
      <w:proofErr w:type="gramEnd"/>
      <w:r>
        <w:rPr>
          <w:rFonts w:ascii="彩虹粗仿宋" w:eastAsia="彩虹粗仿宋" w:hAnsi="宋体" w:cs="宋体" w:hint="eastAsia"/>
          <w:color w:val="000000"/>
          <w:kern w:val="0"/>
          <w:sz w:val="24"/>
        </w:rPr>
        <w:t>8：30前补足金额。</w:t>
      </w:r>
    </w:p>
    <w:p w14:paraId="740ECC1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如果基金管理人未遵循上述规定备足</w:t>
      </w:r>
      <w:r>
        <w:rPr>
          <w:rFonts w:ascii="彩虹粗仿宋" w:eastAsia="彩虹粗仿宋" w:hAnsi="宋体" w:cs="Arial" w:hint="eastAsia"/>
          <w:sz w:val="24"/>
        </w:rPr>
        <w:t>资金头寸，影响基金资产的清算交收及基金托管人与中国证券登记结算有限责任公司之间的一级清算，由此给基金托管人、基金资产及基金托管人托管的其他资产造成的直接经济损失由基金管理人负</w:t>
      </w:r>
      <w:r>
        <w:rPr>
          <w:rFonts w:ascii="彩虹粗仿宋" w:eastAsia="彩虹粗仿宋" w:hAnsi="宋体" w:cs="Arial" w:hint="eastAsia"/>
          <w:sz w:val="24"/>
        </w:rPr>
        <w:lastRenderedPageBreak/>
        <w:t>责。</w:t>
      </w:r>
    </w:p>
    <w:p w14:paraId="76B9843F" w14:textId="77777777" w:rsidR="00B964D2" w:rsidRDefault="00BE1CEF">
      <w:pPr>
        <w:adjustRightInd w:val="0"/>
        <w:snapToGrid w:val="0"/>
        <w:ind w:firstLine="480"/>
        <w:rPr>
          <w:rFonts w:ascii="彩虹粗仿宋" w:eastAsia="彩虹粗仿宋" w:hAnsi="宋体" w:cs="宋体"/>
          <w:color w:val="000000"/>
          <w:kern w:val="0"/>
          <w:sz w:val="24"/>
        </w:rPr>
      </w:pPr>
      <w:r>
        <w:rPr>
          <w:rFonts w:ascii="彩虹粗仿宋" w:eastAsia="彩虹粗仿宋" w:hAnsi="宋体" w:cs="Arial" w:hint="eastAsia"/>
          <w:sz w:val="24"/>
        </w:rPr>
        <w:t>根据中国证券登记结算有限责</w:t>
      </w:r>
      <w:r>
        <w:rPr>
          <w:rFonts w:ascii="彩虹粗仿宋" w:eastAsia="彩虹粗仿宋" w:hAnsi="宋体" w:cs="宋体" w:hint="eastAsia"/>
          <w:color w:val="000000"/>
          <w:kern w:val="0"/>
          <w:sz w:val="24"/>
        </w:rPr>
        <w:t>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进行处置造成的投资风险和损失由基金管理人承担。</w:t>
      </w:r>
    </w:p>
    <w:p w14:paraId="46134DB6" w14:textId="77777777" w:rsidR="00B964D2" w:rsidRDefault="00BE1CEF">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w:t>
      </w:r>
      <w:r>
        <w:rPr>
          <w:rFonts w:ascii="彩虹粗仿宋" w:eastAsia="彩虹粗仿宋" w:hAnsi="宋体" w:hint="eastAsia"/>
          <w:sz w:val="24"/>
        </w:rPr>
        <w:t>但不限于</w:t>
      </w:r>
      <w:r>
        <w:rPr>
          <w:rFonts w:ascii="彩虹粗仿宋" w:eastAsia="彩虹粗仿宋" w:hAnsi="宋体" w:cs="宋体" w:hint="eastAsia"/>
          <w:color w:val="000000"/>
          <w:kern w:val="0"/>
          <w:sz w:val="24"/>
        </w:rPr>
        <w:t>赔偿在该市场引起其他托管客户交易失败、赔偿因占用结算参与人最低备付金带来的利息损失。若沪深市场T+0非担保交收规则调整，则此条款内容相应调整。</w:t>
      </w:r>
    </w:p>
    <w:p w14:paraId="6D991D73" w14:textId="77777777" w:rsidR="00B964D2" w:rsidRDefault="00BE1CEF">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color w:val="000000"/>
          <w:kern w:val="0"/>
          <w:sz w:val="24"/>
        </w:rPr>
        <w:t>3</w:t>
      </w:r>
      <w:r>
        <w:rPr>
          <w:rFonts w:ascii="彩虹粗仿宋" w:eastAsia="彩虹粗仿宋" w:hAnsi="宋体" w:cs="宋体" w:hint="eastAsia"/>
          <w:color w:val="000000"/>
          <w:kern w:val="0"/>
          <w:sz w:val="24"/>
        </w:rPr>
        <w:t>、交易记录、资金和证券/期货账目核对的时间和方式</w:t>
      </w:r>
    </w:p>
    <w:p w14:paraId="260BB8EB" w14:textId="77777777" w:rsidR="00B964D2" w:rsidRDefault="00BE1CEF">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（1）交易记录的核对</w:t>
      </w:r>
    </w:p>
    <w:p w14:paraId="2AC1D7D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981AC4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2EBB8FA4"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w:t>
      </w:r>
      <w:r>
        <w:rPr>
          <w:rFonts w:ascii="彩虹粗仿宋" w:eastAsia="彩虹粗仿宋" w:hAnsi="宋体" w:cs="宋体" w:hint="eastAsia"/>
          <w:kern w:val="0"/>
          <w:sz w:val="24"/>
        </w:rPr>
        <w:t>由基金管理人与基金托管人</w:t>
      </w:r>
      <w:r>
        <w:rPr>
          <w:rFonts w:ascii="彩虹粗仿宋" w:eastAsia="彩虹粗仿宋" w:hAnsi="宋体" w:cs="Arial" w:hint="eastAsia"/>
          <w:sz w:val="24"/>
        </w:rPr>
        <w:t>按日核实。</w:t>
      </w:r>
    </w:p>
    <w:p w14:paraId="6C824A9C"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5D75402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基金管理人和基金托管人每个交易日结束后核对基金证券/期货账目，确保双方账目相符。</w:t>
      </w:r>
    </w:p>
    <w:p w14:paraId="762BE1C6" w14:textId="77777777" w:rsidR="00B964D2" w:rsidRDefault="00BE1CEF">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0C816A8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5BE1ACB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BABCE3B"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0913A0E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51106DF2"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7E56C74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62291F34"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5E9EF152"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14:paraId="129CB20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8、赎回和分红资金划拨规定</w:t>
      </w:r>
    </w:p>
    <w:p w14:paraId="20677FB5"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或进行基金分红时，如基金托管资金账户有足够的资金，基金托管人应按时拨付；因基金托管资金账户没有足够的资金，导致基金托管人不能按时拨付，基金托管人应及时通知基金管理人，如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3D9AF435"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7C976A98"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57E14526"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7826AD6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7ED81AA4"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422C004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43830315"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（五）基金转换</w:t>
      </w:r>
    </w:p>
    <w:p w14:paraId="141A201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494CBAB6"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14:paraId="1FA3BB1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674D85E5"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（六）基金现金分红</w:t>
      </w:r>
    </w:p>
    <w:p w14:paraId="24169DE6"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1、基金管理人确定分红方案通知基金托管人，双方核定后在2日内在中国证监会规定媒介上公告。</w:t>
      </w:r>
    </w:p>
    <w:p w14:paraId="12B4562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B58CDB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08D98369"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1B930C05"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7340CA1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1796EAD8"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3BC2362"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33A621F2"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（4）资金划转过程中需要使用存款银行过渡账户的，存款银行须保证资金在过渡账户中不出现滞留，不被挪用。</w:t>
      </w:r>
    </w:p>
    <w:p w14:paraId="0771155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184D3919"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以书面或其他双方认可的方式通知基金托管人，以便基金托管人有足够的时间履行相应的业务操作程序。因发生逾期支取、提前支取或部分提前支取，基金托管人不承担相应利息损失及逾期支取手续费。</w:t>
      </w:r>
    </w:p>
    <w:p w14:paraId="6594434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3ED40A75"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（八）托管产品通过第三</w:t>
      </w:r>
      <w:proofErr w:type="gramStart"/>
      <w:r>
        <w:rPr>
          <w:rFonts w:ascii="彩虹粗仿宋" w:eastAsia="彩虹粗仿宋" w:hAnsi="宋体" w:cs="Arial" w:hint="eastAsia"/>
          <w:sz w:val="24"/>
        </w:rPr>
        <w:t>方销售</w:t>
      </w:r>
      <w:proofErr w:type="gramEnd"/>
      <w:r>
        <w:rPr>
          <w:rFonts w:ascii="彩虹粗仿宋" w:eastAsia="彩虹粗仿宋" w:hAnsi="宋体" w:cs="Arial" w:hint="eastAsia"/>
          <w:sz w:val="24"/>
        </w:rPr>
        <w:t>机构参与开放式基金投资的特别约定</w:t>
      </w:r>
    </w:p>
    <w:p w14:paraId="67A1FBF3"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本基金可以通过第三</w:t>
      </w:r>
      <w:proofErr w:type="gramStart"/>
      <w:r>
        <w:rPr>
          <w:rFonts w:ascii="彩虹粗仿宋" w:eastAsia="彩虹粗仿宋" w:hAnsi="宋体" w:cs="Arial" w:hint="eastAsia"/>
          <w:sz w:val="24"/>
        </w:rPr>
        <w:t>方基金</w:t>
      </w:r>
      <w:proofErr w:type="gramEnd"/>
      <w:r>
        <w:rPr>
          <w:rFonts w:ascii="彩虹粗仿宋" w:eastAsia="彩虹粗仿宋" w:hAnsi="宋体" w:cs="Arial" w:hint="eastAsia"/>
          <w:sz w:val="24"/>
        </w:rPr>
        <w:t>销售机构渠道投资开放式基金。为维护产品持有人利益、保障资产安全，基金管理人应负责制订选择第三</w:t>
      </w:r>
      <w:proofErr w:type="gramStart"/>
      <w:r>
        <w:rPr>
          <w:rFonts w:ascii="彩虹粗仿宋" w:eastAsia="彩虹粗仿宋" w:hAnsi="宋体" w:cs="Arial" w:hint="eastAsia"/>
          <w:sz w:val="24"/>
        </w:rPr>
        <w:t>方基金</w:t>
      </w:r>
      <w:proofErr w:type="gramEnd"/>
      <w:r>
        <w:rPr>
          <w:rFonts w:ascii="彩虹粗仿宋" w:eastAsia="彩虹粗仿宋" w:hAnsi="宋体" w:cs="Arial" w:hint="eastAsia"/>
          <w:sz w:val="24"/>
        </w:rPr>
        <w:t>销售机构的标准和程序，并据此选择第三</w:t>
      </w:r>
      <w:proofErr w:type="gramStart"/>
      <w:r>
        <w:rPr>
          <w:rFonts w:ascii="彩虹粗仿宋" w:eastAsia="彩虹粗仿宋" w:hAnsi="宋体" w:cs="Arial" w:hint="eastAsia"/>
          <w:sz w:val="24"/>
        </w:rPr>
        <w:t>方销售</w:t>
      </w:r>
      <w:proofErr w:type="gramEnd"/>
      <w:r>
        <w:rPr>
          <w:rFonts w:ascii="彩虹粗仿宋" w:eastAsia="彩虹粗仿宋" w:hAnsi="宋体" w:cs="Arial" w:hint="eastAsia"/>
          <w:sz w:val="24"/>
        </w:rPr>
        <w:t>机构。对于第三</w:t>
      </w:r>
      <w:proofErr w:type="gramStart"/>
      <w:r>
        <w:rPr>
          <w:rFonts w:ascii="彩虹粗仿宋" w:eastAsia="彩虹粗仿宋" w:hAnsi="宋体" w:cs="Arial" w:hint="eastAsia"/>
          <w:sz w:val="24"/>
        </w:rPr>
        <w:t>方基金</w:t>
      </w:r>
      <w:proofErr w:type="gramEnd"/>
      <w:r>
        <w:rPr>
          <w:rFonts w:ascii="彩虹粗仿宋" w:eastAsia="彩虹粗仿宋" w:hAnsi="宋体" w:cs="Arial" w:hint="eastAsia"/>
          <w:sz w:val="24"/>
        </w:rPr>
        <w:t>销售机构原因给本基金造成损失的，相关责任由基金管理人承担。</w:t>
      </w:r>
    </w:p>
    <w:p w14:paraId="03E5FAC6" w14:textId="77777777" w:rsidR="00B964D2" w:rsidRDefault="00B964D2">
      <w:pPr>
        <w:adjustRightInd w:val="0"/>
        <w:snapToGrid w:val="0"/>
        <w:ind w:firstLineChars="200" w:firstLine="480"/>
        <w:rPr>
          <w:rFonts w:ascii="彩虹粗仿宋" w:eastAsia="彩虹粗仿宋" w:hAnsi="宋体" w:cs="Arial"/>
          <w:sz w:val="24"/>
        </w:rPr>
      </w:pPr>
    </w:p>
    <w:p w14:paraId="28D23AB3" w14:textId="77777777" w:rsidR="00B964D2" w:rsidRDefault="00BE1CEF">
      <w:pPr>
        <w:pStyle w:val="2"/>
        <w:jc w:val="center"/>
        <w:rPr>
          <w:rFonts w:ascii="彩虹粗仿宋" w:eastAsia="彩虹粗仿宋"/>
          <w:sz w:val="30"/>
        </w:rPr>
      </w:pPr>
      <w:bookmarkStart w:id="85" w:name="_Toc124325892"/>
      <w:r>
        <w:rPr>
          <w:rFonts w:ascii="彩虹粗仿宋" w:eastAsia="彩虹粗仿宋" w:hint="eastAsia"/>
          <w:sz w:val="30"/>
        </w:rPr>
        <w:t>八、基金资产净值计算和会计核算</w:t>
      </w:r>
      <w:bookmarkEnd w:id="85"/>
    </w:p>
    <w:p w14:paraId="2422A46B"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600A69F8"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任一类基金份额净值是按照每个工作日闭市后，该类基金份额的基金资产净值除以当日该类基金份额的余额数量计算，精确到0.0001元，小数点后第5位四舍五入。基金管理人可以设立大额赎回情形下的净值精度应急调整机制。国家另有规定的，从其规定。</w:t>
      </w:r>
    </w:p>
    <w:p w14:paraId="0A904BC7"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基金管理人于每个工作日计算基金资产净值及各类基金份额净值，并按规定公告。</w:t>
      </w:r>
    </w:p>
    <w:p w14:paraId="5CB7CE5C"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应于每个工作日对基金资产估值，但基金管理人根据法律法规或《基金合同》的规定暂停估值时除外。基金管理人每个工作日对基金资产估值后，将基金资产净值和各类别基金份额净值结果发送基金托管人，经基金托管人复核无误后，由基金管理人按约定对外公布。</w:t>
      </w:r>
    </w:p>
    <w:p w14:paraId="12747AB0" w14:textId="77777777" w:rsidR="00B964D2" w:rsidRDefault="00BE1CEF">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19936E8F" w14:textId="77777777" w:rsidR="00B964D2" w:rsidRDefault="00BE1CEF">
      <w:pPr>
        <w:adjustRightInd w:val="0"/>
        <w:snapToGrid w:val="0"/>
        <w:ind w:firstLineChars="200" w:firstLine="480"/>
        <w:rPr>
          <w:rFonts w:ascii="彩虹粗仿宋" w:eastAsia="彩虹粗仿宋" w:hAnsi="宋体" w:cs="Arial"/>
          <w:sz w:val="24"/>
        </w:rPr>
      </w:pPr>
      <w:bookmarkStart w:id="86" w:name="_Hlk151563428"/>
      <w:r>
        <w:rPr>
          <w:rFonts w:ascii="彩虹粗仿宋" w:eastAsia="彩虹粗仿宋" w:hAnsi="宋体" w:cs="Arial" w:hint="eastAsia"/>
          <w:sz w:val="24"/>
        </w:rPr>
        <w:lastRenderedPageBreak/>
        <w:t>1、估值对象</w:t>
      </w:r>
    </w:p>
    <w:p w14:paraId="12FA78B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基金所拥有的股票、债券、基金份额、银行存款本息、资产支持证券、信用衍生品、国债期货合约、应收款项、其他投资等资产及负债。</w:t>
      </w:r>
    </w:p>
    <w:p w14:paraId="0612E5C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4E630D6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证券交易所上市的有价证券的估值</w:t>
      </w:r>
    </w:p>
    <w:p w14:paraId="490736B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4CBBB3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2）交易所上市交易或挂牌转让的不含</w:t>
      </w:r>
      <w:proofErr w:type="gramStart"/>
      <w:r>
        <w:rPr>
          <w:rFonts w:ascii="彩虹粗仿宋" w:eastAsia="彩虹粗仿宋" w:hAnsi="宋体" w:cs="Arial"/>
          <w:sz w:val="24"/>
        </w:rPr>
        <w:t>权固定</w:t>
      </w:r>
      <w:proofErr w:type="gramEnd"/>
      <w:r>
        <w:rPr>
          <w:rFonts w:ascii="彩虹粗仿宋" w:eastAsia="彩虹粗仿宋" w:hAnsi="宋体" w:cs="Arial"/>
          <w:sz w:val="24"/>
        </w:rPr>
        <w:t>收益品种（另有规定的除外），选取估值日第三方估值机构提供的相应品种当日的估值全价进行估值。</w:t>
      </w:r>
    </w:p>
    <w:p w14:paraId="06D9FC8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3）交易所上市交易或挂牌转让的含</w:t>
      </w:r>
      <w:proofErr w:type="gramStart"/>
      <w:r>
        <w:rPr>
          <w:rFonts w:ascii="彩虹粗仿宋" w:eastAsia="彩虹粗仿宋" w:hAnsi="宋体" w:cs="Arial"/>
          <w:sz w:val="24"/>
        </w:rPr>
        <w:t>权固定</w:t>
      </w:r>
      <w:proofErr w:type="gramEnd"/>
      <w:r>
        <w:rPr>
          <w:rFonts w:ascii="彩虹粗仿宋" w:eastAsia="彩虹粗仿宋" w:hAnsi="宋体" w:cs="Arial"/>
          <w:sz w:val="24"/>
        </w:rPr>
        <w:t>收益品种（另有规定的除外），选取估值日第三方估值机构提供的相应品种当日的唯一估值全价或推荐估值全价进行估值。</w:t>
      </w:r>
    </w:p>
    <w:p w14:paraId="73BAA9A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4）交易所上市交易的可转换债券，按估值日收盘价作为估值全价。</w:t>
      </w:r>
    </w:p>
    <w:p w14:paraId="5B0C46BC"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5）交易所上市不存在活跃市场的有价证券，采用估值技术确定公允价值。交易所市场挂牌转让的资产支持证券，采用估值技术确定公允价值。</w:t>
      </w:r>
    </w:p>
    <w:p w14:paraId="010281E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处于未上市期间的有价证券应区分如下情况处理：</w:t>
      </w:r>
    </w:p>
    <w:p w14:paraId="583F1C9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1）送股、转增股、配股和公开增发的新股，按估值日在证券交易所挂牌的同一股票的估值方法估值；该日无交易的，以最近一日的市价（收盘价）估值。</w:t>
      </w:r>
    </w:p>
    <w:p w14:paraId="0838AF3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2）首次公开发行未上市的股票、债券，采用估值技术确定公允价值。</w:t>
      </w:r>
    </w:p>
    <w:p w14:paraId="01A7891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3）对在交易所市场发行未上市或未挂牌转让的固定收益品种，对于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341CC62"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4）在发行时明确一定期限限售期的股票，包括但不限于非公开发行股票、首次公开发行股票时公司股东公开发售股份、通过大宗交易取得的带限售期的股票等，不包括停牌、新发行未上市、回购交易中的质押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彩虹粗仿宋" w:eastAsia="彩虹粗仿宋" w:hAnsi="宋体" w:cs="Arial"/>
          <w:sz w:val="24"/>
        </w:rPr>
        <w:t>券</w:t>
      </w:r>
      <w:proofErr w:type="gramEnd"/>
      <w:r>
        <w:rPr>
          <w:rFonts w:ascii="彩虹粗仿宋" w:eastAsia="彩虹粗仿宋" w:hAnsi="宋体" w:cs="Arial"/>
          <w:sz w:val="24"/>
        </w:rPr>
        <w:t>等流通受限股票，按监管机构或行业协会有关规定确定公允价值。</w:t>
      </w:r>
    </w:p>
    <w:p w14:paraId="5E4A8D7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含投资人回售权的固定收益品种，行使回售权的，在回售登记日至实际收款日期间选取第三方估值机构提供的相应品种的唯一估值全价或推荐估值全价估值，回售登记期截止日（含当日）后未行使回售权的按照长待偿期所对应的价格进行估值。对银行间市场未上市，且第三方估值机构未提供估值价格的债券，采用估值技术确定公允价值。</w:t>
      </w:r>
    </w:p>
    <w:p w14:paraId="25CCBAE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同一证券同时在两个或两个以上市场交易的，按证券所处的市场分别估值。</w:t>
      </w:r>
    </w:p>
    <w:p w14:paraId="4898BEB2"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本基金投资同业存单，采用估值日第三方估值机构提供的估值全价进行估值；选定的第三方估值机构未提供估值价格的，按估值技术确定公允价值。</w:t>
      </w:r>
    </w:p>
    <w:p w14:paraId="000C917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6）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6D88C35"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sz w:val="24"/>
        </w:rPr>
        <w:t>持有的银行定期存款或通知存款以本金列示，按协议或合同利率逐日确认利息收入。</w:t>
      </w:r>
    </w:p>
    <w:p w14:paraId="5C87830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Pr>
          <w:rFonts w:ascii="彩虹粗仿宋" w:eastAsia="彩虹粗仿宋" w:hAnsi="宋体" w:cs="Arial"/>
          <w:sz w:val="24"/>
        </w:rPr>
        <w:t>因持有股票而享有的配股权，采用估值技术确定公允价值。</w:t>
      </w:r>
    </w:p>
    <w:p w14:paraId="55BB7398"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w:t>
      </w:r>
      <w:r>
        <w:rPr>
          <w:rFonts w:ascii="彩虹粗仿宋" w:eastAsia="彩虹粗仿宋" w:hAnsi="宋体" w:cs="Arial"/>
          <w:sz w:val="24"/>
        </w:rPr>
        <w:t>本基金投资的国债期货合约，一般以估值当日结算价进行估值，估值当日无结算价的，且最近交易日后经济环境未发生重大变化的，采用最近交易日结算价估值。</w:t>
      </w:r>
    </w:p>
    <w:p w14:paraId="134E815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（10）</w:t>
      </w:r>
      <w:r>
        <w:rPr>
          <w:rFonts w:ascii="彩虹粗仿宋" w:eastAsia="彩虹粗仿宋" w:hAnsi="宋体" w:cs="Arial"/>
          <w:sz w:val="24"/>
        </w:rPr>
        <w:t>本基金投资存托凭证的估值核算依照境内上市交易的股票执行。</w:t>
      </w:r>
    </w:p>
    <w:p w14:paraId="45C38D8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（11）</w:t>
      </w:r>
      <w:r>
        <w:rPr>
          <w:rFonts w:ascii="彩虹粗仿宋" w:eastAsia="彩虹粗仿宋" w:hAnsi="宋体" w:cs="Arial"/>
          <w:sz w:val="24"/>
        </w:rPr>
        <w:t>本基金投资的信用衍生品按第三方估值机构提供的当日估值价进行估值，但基金管理人依法应当承担的估值责任不因委托而免除；选定的第三方估值机构未提供估值价格的，依照有关法律法规、行业协会的相关规定及企业会计准则要求，采用合理估值技术确定公允价值。</w:t>
      </w:r>
    </w:p>
    <w:p w14:paraId="7A19B8CD"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（12）</w:t>
      </w:r>
      <w:r>
        <w:rPr>
          <w:rFonts w:ascii="彩虹粗仿宋" w:eastAsia="彩虹粗仿宋" w:hAnsi="宋体" w:cs="Arial"/>
          <w:sz w:val="24"/>
        </w:rPr>
        <w:t>基金估值方法</w:t>
      </w:r>
    </w:p>
    <w:p w14:paraId="47D3903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1）本基金投资于非上市基金的估值：</w:t>
      </w:r>
    </w:p>
    <w:p w14:paraId="1A50CF5F"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本基金投资的境内非货币市场基金，按所投资基金估值日的份额净值估值。</w:t>
      </w:r>
    </w:p>
    <w:p w14:paraId="2930423C"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2）本基金投资于交易所上市基金的估值：</w:t>
      </w:r>
    </w:p>
    <w:p w14:paraId="3B69BFA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①本基金投资的</w:t>
      </w:r>
      <w:r>
        <w:rPr>
          <w:rFonts w:ascii="彩虹粗仿宋" w:eastAsia="彩虹粗仿宋" w:hAnsi="宋体" w:cs="Arial"/>
          <w:sz w:val="24"/>
        </w:rPr>
        <w:t>ETF基金，按所投资ETF基金估值日的收盘价估值。</w:t>
      </w:r>
    </w:p>
    <w:p w14:paraId="62EA4AEC"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②本基金投资的境内上市开放式基金（</w:t>
      </w:r>
      <w:r>
        <w:rPr>
          <w:rFonts w:ascii="彩虹粗仿宋" w:eastAsia="彩虹粗仿宋" w:hAnsi="宋体" w:cs="Arial"/>
          <w:sz w:val="24"/>
        </w:rPr>
        <w:t>LOF），按所投资基金估值日的份额净值估值。</w:t>
      </w:r>
    </w:p>
    <w:p w14:paraId="51493718"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③本基金投资的境内上市定期开放式基金、封闭式基金，按所投资基金估值日的收盘价估值。</w:t>
      </w:r>
    </w:p>
    <w:p w14:paraId="00D37B20"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3）</w:t>
      </w:r>
      <w:proofErr w:type="gramStart"/>
      <w:r>
        <w:rPr>
          <w:rFonts w:ascii="彩虹粗仿宋" w:eastAsia="彩虹粗仿宋" w:hAnsi="宋体" w:cs="Arial"/>
          <w:sz w:val="24"/>
        </w:rPr>
        <w:t>如遇所投资</w:t>
      </w:r>
      <w:proofErr w:type="gramEnd"/>
      <w:r>
        <w:rPr>
          <w:rFonts w:ascii="彩虹粗仿宋" w:eastAsia="彩虹粗仿宋" w:hAnsi="宋体" w:cs="Arial"/>
          <w:sz w:val="24"/>
        </w:rPr>
        <w:t>基金不公布基金份额净值、进行折算或拆分、估值日无交易等特殊情况，本基金根据以下原则进行估值：</w:t>
      </w:r>
    </w:p>
    <w:p w14:paraId="4C272136"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①以所投资基金的基金份额净值估值的，若所投资基金与本基金估值频率一致但未公布估值日基金份额净值，按其最新公布的基金份额净值为基础估值；</w:t>
      </w:r>
    </w:p>
    <w:p w14:paraId="1432035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5DB7D78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③如果所投资基金前一估值日至估值日期间发生分红除权、折算或拆分，本基金根据基金份额净值或收盘价、单位基金份额分红金额、折算拆分比例、持仓份额等因素合理确定公允价值。</w:t>
      </w:r>
    </w:p>
    <w:p w14:paraId="70D55B71"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sz w:val="24"/>
        </w:rPr>
        <w:t>4）当基金管理人认为所投资基金按上述第1）条至第3）条进行估值存在</w:t>
      </w:r>
      <w:proofErr w:type="gramStart"/>
      <w:r>
        <w:rPr>
          <w:rFonts w:ascii="彩虹粗仿宋" w:eastAsia="彩虹粗仿宋" w:hAnsi="宋体" w:cs="Arial"/>
          <w:sz w:val="24"/>
        </w:rPr>
        <w:t>不</w:t>
      </w:r>
      <w:proofErr w:type="gramEnd"/>
      <w:r>
        <w:rPr>
          <w:rFonts w:ascii="彩虹粗仿宋" w:eastAsia="彩虹粗仿宋" w:hAnsi="宋体" w:cs="Arial"/>
          <w:sz w:val="24"/>
        </w:rPr>
        <w:t>公允时，应与基金托管人协商一致采用合理的估值技术或估值标准确定其公允价值。</w:t>
      </w:r>
    </w:p>
    <w:p w14:paraId="46561947"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3</w:t>
      </w:r>
      <w:r>
        <w:rPr>
          <w:rFonts w:ascii="彩虹粗仿宋" w:eastAsia="彩虹粗仿宋" w:hAnsi="宋体" w:cs="Arial" w:hint="eastAsia"/>
          <w:sz w:val="24"/>
        </w:rPr>
        <w:t>）估值计算中涉及港币对人民币汇率的，将依据下列信息提供机构所提供的汇率为基准：当日中国人民银行公布的人民币与港币的中间价</w:t>
      </w:r>
      <w:r>
        <w:rPr>
          <w:rFonts w:ascii="彩虹粗仿宋" w:eastAsia="彩虹粗仿宋" w:hAnsi="宋体" w:cs="Arial"/>
          <w:sz w:val="24"/>
        </w:rPr>
        <w:t>。</w:t>
      </w:r>
    </w:p>
    <w:p w14:paraId="23E59788"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4</w:t>
      </w:r>
      <w:r>
        <w:rPr>
          <w:rFonts w:ascii="彩虹粗仿宋" w:eastAsia="彩虹粗仿宋" w:hAnsi="宋体" w:cs="Arial" w:hint="eastAsia"/>
          <w:sz w:val="24"/>
        </w:rPr>
        <w:t>）</w:t>
      </w:r>
      <w:r>
        <w:rPr>
          <w:rFonts w:ascii="彩虹粗仿宋" w:eastAsia="彩虹粗仿宋" w:hAnsi="宋体" w:cs="Arial"/>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w:t>
      </w:r>
      <w:r>
        <w:rPr>
          <w:rFonts w:ascii="彩虹粗仿宋" w:eastAsia="彩虹粗仿宋" w:hAnsi="宋体" w:cs="Arial"/>
          <w:sz w:val="24"/>
        </w:rPr>
        <w:lastRenderedPageBreak/>
        <w:t>值调整。</w:t>
      </w:r>
    </w:p>
    <w:p w14:paraId="60CD45AC"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5</w:t>
      </w:r>
      <w:r>
        <w:rPr>
          <w:rFonts w:ascii="彩虹粗仿宋" w:eastAsia="彩虹粗仿宋" w:hAnsi="宋体" w:cs="Arial" w:hint="eastAsia"/>
          <w:sz w:val="24"/>
        </w:rPr>
        <w:t>）</w:t>
      </w:r>
      <w:r>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14:paraId="3DF6C973"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6</w:t>
      </w:r>
      <w:r>
        <w:rPr>
          <w:rFonts w:ascii="彩虹粗仿宋" w:eastAsia="彩虹粗仿宋" w:hAnsi="宋体" w:cs="Arial" w:hint="eastAsia"/>
          <w:sz w:val="24"/>
        </w:rPr>
        <w:t>）</w:t>
      </w:r>
      <w:r>
        <w:rPr>
          <w:rFonts w:ascii="彩虹粗仿宋" w:eastAsia="彩虹粗仿宋" w:hAnsi="宋体" w:cs="Arial"/>
          <w:sz w:val="24"/>
        </w:rPr>
        <w:t>当发生大额申购或赎回情形时，基金管理人可以采用摆动定价机制，以确保基金估值的公平性。具体处理原则与操作规范遵循相关法律法规以及监管部门、自律规则的规定。</w:t>
      </w:r>
    </w:p>
    <w:p w14:paraId="3F9B252E"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7</w:t>
      </w:r>
      <w:r>
        <w:rPr>
          <w:rFonts w:ascii="彩虹粗仿宋" w:eastAsia="彩虹粗仿宋" w:hAnsi="宋体" w:cs="Arial" w:hint="eastAsia"/>
          <w:sz w:val="24"/>
        </w:rPr>
        <w:t>）</w:t>
      </w:r>
      <w:r>
        <w:rPr>
          <w:rFonts w:ascii="彩虹粗仿宋" w:eastAsia="彩虹粗仿宋" w:hAnsi="宋体" w:cs="Arial"/>
          <w:sz w:val="24"/>
        </w:rPr>
        <w:t>相关法律法规以及监管部门有强制规定的，从其规定。如有新增事项，按国家最新规定估值。</w:t>
      </w:r>
    </w:p>
    <w:p w14:paraId="3DEE3ED6"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72A9F6D" w14:textId="77777777" w:rsidR="00B964D2" w:rsidRDefault="00BE1CEF">
      <w:pPr>
        <w:adjustRightInd w:val="0"/>
        <w:snapToGrid w:val="0"/>
        <w:ind w:firstLineChars="200" w:firstLine="480"/>
        <w:rPr>
          <w:rFonts w:ascii="彩虹粗仿宋" w:eastAsia="彩虹粗仿宋" w:hAnsi="宋体" w:cs="Arial"/>
          <w:sz w:val="24"/>
        </w:rPr>
      </w:pPr>
      <w:proofErr w:type="gramStart"/>
      <w:r>
        <w:rPr>
          <w:rFonts w:ascii="彩虹粗仿宋" w:eastAsia="彩虹粗仿宋" w:hAnsi="宋体" w:cs="Arial" w:hint="eastAsia"/>
          <w:sz w:val="24"/>
        </w:rPr>
        <w:t>鉴于本</w:t>
      </w:r>
      <w:proofErr w:type="gramEnd"/>
      <w:r>
        <w:rPr>
          <w:rFonts w:ascii="彩虹粗仿宋" w:eastAsia="彩虹粗仿宋" w:hAnsi="宋体" w:cs="Arial" w:hint="eastAsia"/>
          <w:sz w:val="24"/>
        </w:rPr>
        <w:t>基金允许投资由基金管理人管理的非上市基金，基金管理人和基金托管人需根据已披露的份额净值信息进行估值。如因基金管理人披露的份额净值错误或无法于双方约定的时间披露份额净值导致的估值错误，相关责任由基金管理人承担。</w:t>
      </w:r>
    </w:p>
    <w:p w14:paraId="65EC70BA" w14:textId="77777777" w:rsidR="00B964D2" w:rsidRDefault="00BE1CE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 w:val="24"/>
        </w:rPr>
        <w:t>基金管理人向基金托管人出具盖章的书面说明后，</w:t>
      </w:r>
      <w:r>
        <w:rPr>
          <w:rFonts w:ascii="彩虹粗仿宋" w:eastAsia="彩虹粗仿宋" w:hAnsi="宋体" w:cs="Arial" w:hint="eastAsia"/>
          <w:sz w:val="24"/>
        </w:rPr>
        <w:t>按照基金管理人对基金净值信息的计算结果对外予以公布，由此给基金份额持有人和基金造成的损失以及因该交易日基金资产净值计算顺延错误而引起的损失，基金托管人不承担任何责任。</w:t>
      </w:r>
    </w:p>
    <w:p w14:paraId="0716683D" w14:textId="77777777" w:rsidR="00B964D2" w:rsidRDefault="00BE1CEF">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5F801C06" w14:textId="77777777" w:rsidR="00B964D2" w:rsidRDefault="00BE1CEF">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（1）基金管理人或基金托管人按上述第（</w:t>
      </w:r>
      <w:r>
        <w:rPr>
          <w:rStyle w:val="read"/>
          <w:rFonts w:ascii="彩虹粗仿宋" w:eastAsia="彩虹粗仿宋" w:hAnsi="宋体" w:cs="Arial"/>
          <w:sz w:val="24"/>
        </w:rPr>
        <w:t>15</w:t>
      </w:r>
      <w:r>
        <w:rPr>
          <w:rStyle w:val="read"/>
          <w:rFonts w:ascii="彩虹粗仿宋" w:eastAsia="彩虹粗仿宋" w:hAnsi="宋体" w:cs="Arial" w:hint="eastAsia"/>
          <w:sz w:val="24"/>
        </w:rPr>
        <w:t>）项进行估值时，所造成的误差不作为基金资产估值错误处理。</w:t>
      </w:r>
    </w:p>
    <w:p w14:paraId="173BE9C5" w14:textId="77777777" w:rsidR="00B964D2" w:rsidRDefault="00BE1CEF">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2）由于证券交易所、期货交易所、期货公司、登记结算公司、存款银行及估值机构等第三方机构发送的数据错误或者由于其他不可抗力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08B193A" w14:textId="77777777" w:rsidR="00B964D2" w:rsidRDefault="00BE1CEF">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w:t>
      </w:r>
      <w:r>
        <w:rPr>
          <w:rStyle w:val="read"/>
          <w:rFonts w:ascii="彩虹粗仿宋" w:eastAsia="彩虹粗仿宋" w:hAnsi="宋体" w:cs="Arial"/>
          <w:sz w:val="24"/>
        </w:rPr>
        <w:t>3</w:t>
      </w:r>
      <w:r>
        <w:rPr>
          <w:rStyle w:val="read"/>
          <w:rFonts w:ascii="彩虹粗仿宋" w:eastAsia="彩虹粗仿宋" w:hAnsi="宋体" w:cs="Arial" w:hint="eastAsia"/>
          <w:sz w:val="24"/>
        </w:rPr>
        <w:t>）</w:t>
      </w:r>
      <w:r>
        <w:rPr>
          <w:rStyle w:val="read"/>
          <w:rFonts w:ascii="彩虹粗仿宋" w:eastAsia="彩虹粗仿宋" w:hAnsi="宋体" w:cs="Arial"/>
          <w:sz w:val="24"/>
        </w:rPr>
        <w:t>对于因税收规定调整或其他原因导致基金实际交纳税金与基金按照权责发生制进行估值的应交税金有差异的，相关估值调整不作为基金资产估值错误处理。</w:t>
      </w:r>
    </w:p>
    <w:p w14:paraId="63891FF2" w14:textId="77777777" w:rsidR="00B964D2" w:rsidRDefault="00BE1CEF">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1E9B6F38" w14:textId="77777777" w:rsidR="00B964D2" w:rsidRDefault="00BE1CEF">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4位以内（含第4位）发生估值错误时，视为该类基金份额净值错误；某一类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bookmarkEnd w:id="86"/>
    </w:p>
    <w:p w14:paraId="4C06704A" w14:textId="77777777" w:rsidR="00B964D2" w:rsidRDefault="00BE1CEF">
      <w:pPr>
        <w:adjustRightInd w:val="0"/>
        <w:snapToGrid w:val="0"/>
        <w:ind w:firstLineChars="200" w:firstLine="480"/>
        <w:rPr>
          <w:rStyle w:val="read"/>
          <w:rFonts w:ascii="彩虹粗仿宋" w:eastAsia="彩虹粗仿宋"/>
          <w:sz w:val="24"/>
        </w:rPr>
      </w:pPr>
      <w:bookmarkStart w:id="87" w:name="_Hlk151563523"/>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2E0EA286" w14:textId="77777777" w:rsidR="00B964D2" w:rsidRDefault="00BE1CEF">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027DA7C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99A408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w:t>
      </w:r>
      <w:r>
        <w:rPr>
          <w:rFonts w:ascii="彩虹粗仿宋" w:eastAsia="彩虹粗仿宋" w:hint="eastAsia"/>
          <w:kern w:val="0"/>
          <w:sz w:val="24"/>
        </w:rPr>
        <w:t>各类</w:t>
      </w:r>
      <w:r>
        <w:rPr>
          <w:rFonts w:ascii="彩虹粗仿宋" w:eastAsia="彩虹粗仿宋" w:hAnsi="宋体" w:cs="Arial" w:hint="eastAsia"/>
          <w:sz w:val="24"/>
        </w:rPr>
        <w:t>基金份额净值的计算结果，虽然多次重新计算和核对，尚不能达成一致时，为避免不能按时公布</w:t>
      </w:r>
      <w:r>
        <w:rPr>
          <w:rFonts w:ascii="彩虹粗仿宋" w:eastAsia="彩虹粗仿宋" w:hint="eastAsia"/>
          <w:kern w:val="0"/>
          <w:sz w:val="24"/>
        </w:rPr>
        <w:t>各类</w:t>
      </w:r>
      <w:r>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1DA96C1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由于基金管理人提供的信息错误（包括但不限于基金申购或赎回金额等），进而导致各类基金份额净值计算错误而引起的基金份额持有人和基金财产的损失，由基金管理人负责赔付。</w:t>
      </w:r>
    </w:p>
    <w:p w14:paraId="42B55A53"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、基金管理人和基金托管人由于各自技术系统设置而产生的净值计算尾差，以基金管理人计算结果为准。</w:t>
      </w:r>
    </w:p>
    <w:p w14:paraId="42570A7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bookmarkEnd w:id="87"/>
    <w:p w14:paraId="2038D7FD"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19699C12"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1、基金投资所涉及的证券/期货交易市场</w:t>
      </w:r>
      <w:r>
        <w:rPr>
          <w:rFonts w:ascii="彩虹粗仿宋" w:eastAsia="彩虹粗仿宋" w:hAnsi="宋体" w:cs="Arial" w:hint="eastAsia"/>
          <w:sz w:val="24"/>
        </w:rPr>
        <w:t>或外汇市场</w:t>
      </w:r>
      <w:r>
        <w:rPr>
          <w:rFonts w:ascii="彩虹粗仿宋" w:eastAsia="彩虹粗仿宋" w:hAnsi="宋体" w:cs="Arial"/>
          <w:sz w:val="24"/>
        </w:rPr>
        <w:t>遇法定节假日或因其他原因暂停营业时；</w:t>
      </w:r>
    </w:p>
    <w:p w14:paraId="039515EA"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2、因不可抗力或其他情形致使基金管理人、基金托管人无法准确评估基金资产价值时；</w:t>
      </w:r>
    </w:p>
    <w:p w14:paraId="09766E67"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3、当特定资产占前一估值日基金资产净值50%以上的，经与基金托管人协商确认后，基金管理人应当暂停估值；</w:t>
      </w:r>
    </w:p>
    <w:p w14:paraId="1F762855"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4、占相当比例的被投资基金暂停估值或基金份额净值延迟计算、公告时；</w:t>
      </w:r>
    </w:p>
    <w:p w14:paraId="0BC19991"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5、法律法规、中国证监会和基金合同认定的其他情形。</w:t>
      </w:r>
    </w:p>
    <w:p w14:paraId="70AAE1DC"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14:paraId="66A79967"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的，应根据本部分的约定</w:t>
      </w:r>
      <w:proofErr w:type="gramStart"/>
      <w:r>
        <w:rPr>
          <w:rFonts w:ascii="彩虹粗仿宋" w:eastAsia="彩虹粗仿宋" w:hAnsi="宋体" w:cs="Arial" w:hint="eastAsia"/>
          <w:sz w:val="24"/>
        </w:rPr>
        <w:t>对主袋账户</w:t>
      </w:r>
      <w:proofErr w:type="gramEnd"/>
      <w:r>
        <w:rPr>
          <w:rFonts w:ascii="彩虹粗仿宋" w:eastAsia="彩虹粗仿宋" w:hAnsi="宋体" w:cs="Arial" w:hint="eastAsia"/>
          <w:sz w:val="24"/>
        </w:rPr>
        <w:t>资产进行估值并</w:t>
      </w:r>
      <w:proofErr w:type="gramStart"/>
      <w:r>
        <w:rPr>
          <w:rFonts w:ascii="彩虹粗仿宋" w:eastAsia="彩虹粗仿宋" w:hAnsi="宋体" w:cs="Arial" w:hint="eastAsia"/>
          <w:sz w:val="24"/>
        </w:rPr>
        <w:t>披露主袋账户</w:t>
      </w:r>
      <w:proofErr w:type="gramEnd"/>
      <w:r>
        <w:rPr>
          <w:rFonts w:ascii="彩虹粗仿宋" w:eastAsia="彩虹粗仿宋" w:hAnsi="宋体" w:cs="Arial" w:hint="eastAsia"/>
          <w:sz w:val="24"/>
        </w:rPr>
        <w:t>的基金净值信息，暂停</w:t>
      </w:r>
      <w:proofErr w:type="gramStart"/>
      <w:r>
        <w:rPr>
          <w:rFonts w:ascii="彩虹粗仿宋" w:eastAsia="彩虹粗仿宋" w:hAnsi="宋体" w:cs="Arial" w:hint="eastAsia"/>
          <w:sz w:val="24"/>
        </w:rPr>
        <w:t>披露侧袋账户</w:t>
      </w:r>
      <w:proofErr w:type="gramEnd"/>
      <w:r>
        <w:rPr>
          <w:rFonts w:ascii="彩虹粗仿宋" w:eastAsia="彩虹粗仿宋" w:hAnsi="宋体" w:cs="Arial" w:hint="eastAsia"/>
          <w:sz w:val="24"/>
        </w:rPr>
        <w:t>份额净值。</w:t>
      </w:r>
    </w:p>
    <w:p w14:paraId="46B4E526"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（六）基金会计制度</w:t>
      </w:r>
    </w:p>
    <w:p w14:paraId="24C7CFC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2079D6A3"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（七）基金账册的建立</w:t>
      </w:r>
    </w:p>
    <w:p w14:paraId="7D2BF58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1A77B688"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（八）基金财务报表与报告的编制和复核</w:t>
      </w:r>
    </w:p>
    <w:p w14:paraId="7DA23B92"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53D44AC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124555C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08F8E14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w:t>
      </w:r>
      <w:r>
        <w:rPr>
          <w:rFonts w:ascii="彩虹粗仿宋" w:eastAsia="彩虹粗仿宋" w:hAnsi="宋体" w:cs="Arial" w:hint="eastAsia"/>
          <w:sz w:val="24"/>
        </w:rPr>
        <w:lastRenderedPageBreak/>
        <w:t>不符时，应及时通知基金管理人共同查出原因，进行调整，直至双方数据完全一致。</w:t>
      </w:r>
    </w:p>
    <w:p w14:paraId="4EE731C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166DF9C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141460F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《中华人民共和国证券法》规定的会计师事务所审计。《基金合同》生效不足两个月的，基金管理人可以不编制当期季度报告、中期报告或者年度报告。</w:t>
      </w:r>
    </w:p>
    <w:p w14:paraId="6CD8F8D6" w14:textId="77777777" w:rsidR="00B964D2" w:rsidRDefault="00BE1CE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5ACF156A" w14:textId="77777777" w:rsidR="00B964D2" w:rsidRDefault="00BE1CE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5755E18" w14:textId="77777777" w:rsidR="00B964D2" w:rsidRDefault="00BE1CE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w:t>
      </w:r>
      <w:proofErr w:type="gramStart"/>
      <w:r>
        <w:rPr>
          <w:rFonts w:ascii="彩虹粗仿宋" w:eastAsia="彩虹粗仿宋" w:hAnsi="宋体" w:cs="Arial" w:hint="eastAsia"/>
          <w:sz w:val="24"/>
        </w:rPr>
        <w:t>于应当</w:t>
      </w:r>
      <w:proofErr w:type="gramEnd"/>
      <w:r>
        <w:rPr>
          <w:rFonts w:ascii="彩虹粗仿宋" w:eastAsia="彩虹粗仿宋" w:hAnsi="宋体" w:cs="Arial" w:hint="eastAsia"/>
          <w:sz w:val="24"/>
        </w:rPr>
        <w:t>发布公告之日之前就相关报表达成一致，基金管理人按照其编制的报表对外发布公告，基金托管人有权就相关情况报中国证监会备案。</w:t>
      </w:r>
    </w:p>
    <w:p w14:paraId="12A7AFB7" w14:textId="77777777" w:rsidR="00B964D2" w:rsidRDefault="00BE1CE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460CAFA9" w14:textId="77777777" w:rsidR="00B964D2" w:rsidRDefault="00B964D2">
      <w:pPr>
        <w:pStyle w:val="a0"/>
        <w:adjustRightInd w:val="0"/>
        <w:snapToGrid w:val="0"/>
        <w:ind w:firstLineChars="0" w:firstLine="0"/>
        <w:rPr>
          <w:rFonts w:ascii="彩虹粗仿宋" w:eastAsia="彩虹粗仿宋" w:hAnsi="宋体" w:cs="Arial"/>
          <w:sz w:val="24"/>
        </w:rPr>
      </w:pPr>
    </w:p>
    <w:p w14:paraId="6FBBB85D" w14:textId="77777777" w:rsidR="00B964D2" w:rsidRDefault="00BE1CEF">
      <w:pPr>
        <w:pStyle w:val="2"/>
        <w:jc w:val="center"/>
        <w:rPr>
          <w:rFonts w:ascii="彩虹粗仿宋" w:eastAsia="彩虹粗仿宋"/>
          <w:sz w:val="30"/>
        </w:rPr>
      </w:pPr>
      <w:bookmarkStart w:id="88" w:name="_Toc124325893"/>
      <w:r>
        <w:rPr>
          <w:rFonts w:ascii="彩虹粗仿宋" w:eastAsia="彩虹粗仿宋" w:hint="eastAsia"/>
          <w:sz w:val="30"/>
        </w:rPr>
        <w:t>九、基金收益分配</w:t>
      </w:r>
      <w:bookmarkEnd w:id="88"/>
    </w:p>
    <w:p w14:paraId="0F9CBD0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0B0D598B" w14:textId="77777777" w:rsidR="00B964D2" w:rsidRDefault="00BE1CEF">
      <w:pPr>
        <w:adjustRightInd w:val="0"/>
        <w:snapToGrid w:val="0"/>
        <w:ind w:firstLineChars="200" w:firstLine="480"/>
        <w:outlineLvl w:val="0"/>
        <w:rPr>
          <w:rFonts w:ascii="彩虹粗仿宋" w:eastAsia="彩虹粗仿宋" w:hAnsi="宋体" w:cs="Arial"/>
          <w:sz w:val="24"/>
        </w:rPr>
      </w:pPr>
      <w:bookmarkStart w:id="89" w:name="_Hlk117763563"/>
      <w:r>
        <w:rPr>
          <w:rFonts w:ascii="彩虹粗仿宋" w:eastAsia="彩虹粗仿宋" w:hAnsi="宋体" w:cs="Arial" w:hint="eastAsia"/>
          <w:sz w:val="24"/>
        </w:rPr>
        <w:t>（一）基金收益分配的原则</w:t>
      </w:r>
    </w:p>
    <w:p w14:paraId="1A30D75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bookmarkEnd w:id="89"/>
    <w:p w14:paraId="166943D9"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1、在符合有关基金分红条件的前提下，基金管理人可以根据实际情况进行收益分配，具体分配方案以公告为准，若《基金合同》生效不满3个月可不进行收益分配；</w:t>
      </w:r>
    </w:p>
    <w:p w14:paraId="5F5C92C1"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2、本基金收益分配方式分两种：现金分红与红利再投资，基金份额持有人可选择现金红利或将现金红利自动转为相应类别的基金份额进行再投资；</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份额持有人不选择，本基金默认的收益分配方式是现金分红；基金份额持有人可对各类别基金份额分别选择不同的分红方式；</w:t>
      </w:r>
    </w:p>
    <w:p w14:paraId="56301251"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3、基金收益分配后各类基金份额净值均不能低于面值，即基金收益分配基准日的各类基金份额净值减去每单位该类基金份额收益分配金额后不能低于面值；</w:t>
      </w:r>
    </w:p>
    <w:p w14:paraId="0D3B9AF9"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4、由于本基金各类别基金份额费用收取方式不同，其对应的可分配收益可能有所不同，本基金同一类别的每一基金份额享有同等分配权；</w:t>
      </w:r>
    </w:p>
    <w:p w14:paraId="405BFF98"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5、法律法规或监管机构另有规定的，从其规定。</w:t>
      </w:r>
    </w:p>
    <w:p w14:paraId="58B3926D"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在不违反法律法规、基金合同的约定以及对基金份额持有人利益无实质性不利影响的情况下，基金管理人可调整基金收益的分配原则和支付方式，不需召开基金份额持有人大会审议。</w:t>
      </w:r>
    </w:p>
    <w:p w14:paraId="3327C98B"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186BA0FB"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w:t>
      </w:r>
      <w:r>
        <w:rPr>
          <w:rFonts w:ascii="彩虹粗仿宋" w:eastAsia="彩虹粗仿宋" w:hAnsi="宋体" w:cs="Arial"/>
          <w:sz w:val="24"/>
        </w:rPr>
        <w:t>定</w:t>
      </w:r>
      <w:r>
        <w:rPr>
          <w:rFonts w:ascii="彩虹粗仿宋" w:eastAsia="彩虹粗仿宋" w:hAnsi="宋体" w:cs="Arial" w:hint="eastAsia"/>
          <w:sz w:val="24"/>
        </w:rPr>
        <w:t>，并由基金托管人复核，在2日内在规定媒介公告。</w:t>
      </w:r>
      <w:r>
        <w:rPr>
          <w:rFonts w:ascii="彩虹粗仿宋" w:eastAsia="彩虹粗仿宋" w:hint="eastAsia"/>
          <w:sz w:val="24"/>
        </w:rPr>
        <w:t>基金红利发放</w:t>
      </w:r>
      <w:proofErr w:type="gramStart"/>
      <w:r>
        <w:rPr>
          <w:rFonts w:ascii="彩虹粗仿宋" w:eastAsia="彩虹粗仿宋" w:hint="eastAsia"/>
          <w:sz w:val="24"/>
        </w:rPr>
        <w:t>日距离</w:t>
      </w:r>
      <w:proofErr w:type="gramEnd"/>
      <w:r>
        <w:rPr>
          <w:rFonts w:ascii="彩虹粗仿宋" w:eastAsia="彩虹粗仿宋" w:hint="eastAsia"/>
          <w:sz w:val="24"/>
        </w:rPr>
        <w:t>收益分配基准日（即可供分配利润计算截止日）</w:t>
      </w:r>
      <w:r>
        <w:rPr>
          <w:rFonts w:ascii="彩虹粗仿宋" w:eastAsia="彩虹粗仿宋" w:hint="eastAsia"/>
          <w:sz w:val="24"/>
        </w:rPr>
        <w:lastRenderedPageBreak/>
        <w:t>的时间不得超过15个工作日。</w:t>
      </w:r>
      <w:r>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740B7B99"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基金份额持有人自行承担。当基金份额持有人的现金红利小于一定金额，不足以支付银行转账或其他手续费用时，基金登记机构可将基金份额持有人的现金红利自动转为相应类别的基金份额。红利再投资的计算方法等有关事项，依照《业务规则》执行。</w:t>
      </w:r>
    </w:p>
    <w:p w14:paraId="7791822F"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期间的收益分配</w:t>
      </w:r>
    </w:p>
    <w:p w14:paraId="243C2A9B"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侧袋账户</w:t>
      </w:r>
      <w:proofErr w:type="gramEnd"/>
      <w:r>
        <w:rPr>
          <w:rFonts w:ascii="彩虹粗仿宋" w:eastAsia="彩虹粗仿宋" w:hAnsi="宋体" w:cs="Arial" w:hint="eastAsia"/>
          <w:sz w:val="24"/>
        </w:rPr>
        <w:t>不进行收益分配，详见招募说明书的规定。</w:t>
      </w:r>
    </w:p>
    <w:p w14:paraId="333B3495" w14:textId="77777777" w:rsidR="00B964D2" w:rsidRDefault="00B964D2">
      <w:pPr>
        <w:adjustRightInd w:val="0"/>
        <w:snapToGrid w:val="0"/>
        <w:rPr>
          <w:rFonts w:ascii="彩虹粗仿宋" w:eastAsia="彩虹粗仿宋" w:hAnsi="宋体" w:cs="Arial"/>
          <w:sz w:val="24"/>
        </w:rPr>
      </w:pPr>
    </w:p>
    <w:p w14:paraId="015CFB6B" w14:textId="77777777" w:rsidR="00B964D2" w:rsidRDefault="00BE1CEF">
      <w:pPr>
        <w:pStyle w:val="2"/>
        <w:jc w:val="center"/>
        <w:rPr>
          <w:rFonts w:ascii="彩虹粗仿宋" w:eastAsia="彩虹粗仿宋"/>
          <w:sz w:val="30"/>
        </w:rPr>
      </w:pPr>
      <w:bookmarkStart w:id="90" w:name="_Toc124325894"/>
      <w:r>
        <w:rPr>
          <w:rFonts w:ascii="彩虹粗仿宋" w:eastAsia="彩虹粗仿宋" w:hint="eastAsia"/>
          <w:sz w:val="30"/>
        </w:rPr>
        <w:t>十、基金信息披露</w:t>
      </w:r>
      <w:bookmarkEnd w:id="90"/>
    </w:p>
    <w:p w14:paraId="6725EFB1"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35693F8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21B613E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6CDE1BA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7020560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14:paraId="23914A0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参与国债期货交易的信息披露、投资资产支持证券的信息披露、投资港股通标的股票的信息披露、投资信用衍生品的信息披露、投资其他基金的信息披露、中国证监会规定的其他信息。基金年度报告中的财务会计报告需</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《中华人民共和国证券法》规定的会计师事务所审计后，方可披露。</w:t>
      </w:r>
    </w:p>
    <w:p w14:paraId="17D0946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37DAFCC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6721313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F69142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7D36A62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3490465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基金管理人应当在中国证监会规定的时间内，将应予披露的基金信息按规定披露。根据法律法规应由基金托管人公开披露的信息，基金托管人将按规定公开披露。</w:t>
      </w:r>
    </w:p>
    <w:p w14:paraId="1DE71EF2"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w:t>
      </w:r>
      <w:r>
        <w:rPr>
          <w:rFonts w:ascii="彩虹粗仿宋" w:eastAsia="彩虹粗仿宋" w:hAnsi="宋体" w:cs="Arial" w:hint="eastAsia"/>
          <w:sz w:val="24"/>
        </w:rPr>
        <w:lastRenderedPageBreak/>
        <w:t>息：</w:t>
      </w:r>
    </w:p>
    <w:p w14:paraId="469AEB4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403FDF13"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（2）基金投资所涉及的证券/期货交易市场或外汇市场遇法定节假日或因其他原因暂停营业时；</w:t>
      </w:r>
    </w:p>
    <w:p w14:paraId="6D5DBA2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w:t>
      </w:r>
      <w:r>
        <w:rPr>
          <w:rFonts w:ascii="彩虹粗仿宋" w:eastAsia="彩虹粗仿宋" w:hAnsi="宋体" w:cs="Arial" w:hint="eastAsia"/>
          <w:sz w:val="24"/>
        </w:rPr>
        <w:t>）法律法规、《基金合同》或中国证监会规定的其他情况。</w:t>
      </w:r>
    </w:p>
    <w:p w14:paraId="3FBBA41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1C91ECA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531942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7A0D2D7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依法必须披露的信息发布后，基金管理人、基金托管人应当按照相关法律法规规定将信息置备于各自办公场所，供社会公众查阅、复制。基金管理人和基金托管人应保证文本的内容与所公告的内容完全一致。</w:t>
      </w:r>
    </w:p>
    <w:p w14:paraId="66967995" w14:textId="77777777" w:rsidR="00B964D2" w:rsidRDefault="00BE1CEF">
      <w:pPr>
        <w:pStyle w:val="a0"/>
        <w:ind w:firstLine="480"/>
        <w:rPr>
          <w:rFonts w:ascii="彩虹粗仿宋" w:eastAsia="彩虹粗仿宋" w:hAnsi="宋体" w:cs="Arial"/>
          <w:sz w:val="24"/>
        </w:rPr>
      </w:pPr>
      <w:r>
        <w:rPr>
          <w:rFonts w:ascii="彩虹粗仿宋" w:eastAsia="彩虹粗仿宋" w:hAnsi="宋体" w:cs="Arial" w:hint="eastAsia"/>
          <w:sz w:val="24"/>
        </w:rPr>
        <w:t>（四）实施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p>
    <w:p w14:paraId="35C3486F" w14:textId="77777777" w:rsidR="00B964D2" w:rsidRDefault="00BE1CEF">
      <w:pPr>
        <w:pStyle w:val="a0"/>
        <w:ind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的，相关信息披露义务人应当根据法律法规、基金合同和招募说明书的规定进行信息披露，详见招募说明书的规定。</w:t>
      </w:r>
    </w:p>
    <w:p w14:paraId="1FBE951B" w14:textId="77777777" w:rsidR="00B964D2" w:rsidRDefault="00BE1CEF">
      <w:pPr>
        <w:pStyle w:val="a0"/>
        <w:ind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6D6AEAEC" w14:textId="77777777" w:rsidR="00B964D2" w:rsidRDefault="00BE1CEF">
      <w:pPr>
        <w:pStyle w:val="2"/>
        <w:jc w:val="center"/>
        <w:rPr>
          <w:rFonts w:ascii="彩虹粗仿宋" w:eastAsia="彩虹粗仿宋"/>
          <w:sz w:val="30"/>
        </w:rPr>
      </w:pPr>
      <w:bookmarkStart w:id="91" w:name="_Toc124325895"/>
      <w:r>
        <w:rPr>
          <w:rFonts w:ascii="彩虹粗仿宋" w:eastAsia="彩虹粗仿宋" w:hint="eastAsia"/>
          <w:sz w:val="30"/>
        </w:rPr>
        <w:t>十一、基金费用</w:t>
      </w:r>
      <w:bookmarkEnd w:id="91"/>
    </w:p>
    <w:p w14:paraId="39C34FD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740C5AFC"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本基金投资于本基金管理人所管理的基金的部分不收取管理费。本基金的管理费按前一日基金资产净值扣除本基金持有的本基金管理人管理的其他基金资产净值后的余额（若为负数，则取</w:t>
      </w:r>
      <w:r>
        <w:rPr>
          <w:rFonts w:ascii="彩虹粗仿宋" w:eastAsia="彩虹粗仿宋" w:hAnsi="宋体" w:cs="Arial"/>
          <w:sz w:val="24"/>
        </w:rPr>
        <w:t>0）</w:t>
      </w:r>
      <w:r>
        <w:rPr>
          <w:rFonts w:ascii="彩虹粗仿宋" w:eastAsia="彩虹粗仿宋" w:hAnsi="宋体" w:cs="Arial" w:hint="eastAsia"/>
          <w:sz w:val="24"/>
        </w:rPr>
        <w:t>的0.</w:t>
      </w:r>
      <w:r>
        <w:rPr>
          <w:rFonts w:ascii="彩虹粗仿宋" w:eastAsia="彩虹粗仿宋" w:hAnsi="宋体" w:cs="Arial"/>
          <w:sz w:val="24"/>
        </w:rPr>
        <w:t>6</w:t>
      </w:r>
      <w:r>
        <w:rPr>
          <w:rFonts w:ascii="彩虹粗仿宋" w:eastAsia="彩虹粗仿宋" w:hAnsi="宋体" w:cs="Arial" w:hint="eastAsia"/>
          <w:sz w:val="24"/>
        </w:rPr>
        <w:t>0%年费率计提。管理费的计算方法如下：</w:t>
      </w:r>
    </w:p>
    <w:p w14:paraId="190B6591"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6</w:t>
      </w:r>
      <w:r>
        <w:rPr>
          <w:rFonts w:ascii="彩虹粗仿宋" w:eastAsia="彩虹粗仿宋" w:hAnsi="宋体" w:cs="Arial" w:hint="eastAsia"/>
          <w:sz w:val="24"/>
        </w:rPr>
        <w:t>0%÷当年天数</w:t>
      </w:r>
    </w:p>
    <w:p w14:paraId="6544346E"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049C481D" w14:textId="77777777" w:rsidR="00B964D2" w:rsidRDefault="00BE1CEF">
      <w:pPr>
        <w:tabs>
          <w:tab w:val="left" w:pos="1418"/>
        </w:tabs>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E为前一日的基金资产净值扣除本基金持有的本基金管理人管理的其他基金资产净值后的余额，若为负数，则</w:t>
      </w:r>
      <w:r>
        <w:rPr>
          <w:rFonts w:ascii="彩虹粗仿宋" w:eastAsia="彩虹粗仿宋" w:hAnsi="宋体" w:cs="Arial"/>
          <w:sz w:val="24"/>
        </w:rPr>
        <w:t>E取0</w:t>
      </w:r>
    </w:p>
    <w:p w14:paraId="28EDD54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2F96CED4"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本基金投资于本基金托管人所托管的基金的部分不收取托管费。本基金的托管费按前一日基金资产净值扣除本基金持有的本基金托管人托管的其他基金资产净值后的余额（若为负数，则取</w:t>
      </w:r>
      <w:r>
        <w:rPr>
          <w:rFonts w:ascii="彩虹粗仿宋" w:eastAsia="彩虹粗仿宋" w:hAnsi="宋体" w:cs="Arial"/>
          <w:sz w:val="24"/>
        </w:rPr>
        <w:t>0）</w:t>
      </w:r>
      <w:r>
        <w:rPr>
          <w:rFonts w:ascii="彩虹粗仿宋" w:eastAsia="彩虹粗仿宋" w:hAnsi="宋体" w:cs="Arial" w:hint="eastAsia"/>
          <w:sz w:val="24"/>
        </w:rPr>
        <w:t>的0.</w:t>
      </w:r>
      <w:r>
        <w:rPr>
          <w:rFonts w:ascii="彩虹粗仿宋" w:eastAsia="彩虹粗仿宋" w:hAnsi="宋体" w:cs="Arial"/>
          <w:sz w:val="24"/>
        </w:rPr>
        <w:t>20</w:t>
      </w:r>
      <w:r>
        <w:rPr>
          <w:rFonts w:ascii="彩虹粗仿宋" w:eastAsia="彩虹粗仿宋" w:hAnsi="宋体" w:cs="Arial" w:hint="eastAsia"/>
          <w:sz w:val="24"/>
        </w:rPr>
        <w:t>%年费率计提。托管费的计算方法如下：</w:t>
      </w:r>
    </w:p>
    <w:p w14:paraId="478958FB"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20</w:t>
      </w:r>
      <w:r>
        <w:rPr>
          <w:rFonts w:ascii="彩虹粗仿宋" w:eastAsia="彩虹粗仿宋" w:hAnsi="宋体" w:cs="Arial" w:hint="eastAsia"/>
          <w:sz w:val="24"/>
        </w:rPr>
        <w:t>%÷当年天数</w:t>
      </w:r>
    </w:p>
    <w:p w14:paraId="7B277756"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341A1C7F"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E为前一日的基金资产净值扣除本基金持有的本基金托管人托管的其他基金资产净值后的余额，若为负数，则</w:t>
      </w:r>
      <w:r>
        <w:rPr>
          <w:rFonts w:ascii="彩虹粗仿宋" w:eastAsia="彩虹粗仿宋" w:hAnsi="宋体" w:cs="Arial"/>
          <w:sz w:val="24"/>
        </w:rPr>
        <w:t>E取0</w:t>
      </w:r>
    </w:p>
    <w:p w14:paraId="1C36B3F5"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（三）C类基金份额的销售服务费</w:t>
      </w:r>
    </w:p>
    <w:p w14:paraId="0BD47873"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本基金A类基金份额不收取销售服务费，C类基金份额的销售服务费按前一日C类基金份额的基金资产净值的0.20%年费率计提。销售服务费的计算方法如下：</w:t>
      </w:r>
    </w:p>
    <w:p w14:paraId="711D8B72"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H＝E×0.20%÷当年天数</w:t>
      </w:r>
    </w:p>
    <w:p w14:paraId="157B930C"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40C4E5F0"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E为C类基金份额前一日的基金资产净值</w:t>
      </w:r>
    </w:p>
    <w:p w14:paraId="3EEC3C85"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（四）《基金合同》生效后与基金相关的信息披露费用、《基金合同》生效后与</w:t>
      </w:r>
      <w:r>
        <w:rPr>
          <w:rFonts w:ascii="彩虹粗仿宋" w:eastAsia="彩虹粗仿宋" w:hAnsi="宋体" w:cs="Arial" w:hint="eastAsia"/>
          <w:sz w:val="24"/>
        </w:rPr>
        <w:lastRenderedPageBreak/>
        <w:t>基金相关的会计师费、律师费、公证费、仲裁费和诉讼费、基金份额持有人大会费用、基金的证券</w:t>
      </w:r>
      <w:r>
        <w:rPr>
          <w:rFonts w:ascii="彩虹粗仿宋" w:eastAsia="彩虹粗仿宋" w:hAnsi="宋体" w:cs="Arial"/>
          <w:sz w:val="24"/>
        </w:rPr>
        <w:t>/期货/基金交易费用，本基金投资其他基金产生的其他基金的相关费用（如申购费、赎回费、销售服务费等），但法律法规禁止从基金财产中列支的除外</w:t>
      </w:r>
      <w:r>
        <w:rPr>
          <w:rFonts w:ascii="彩虹粗仿宋" w:eastAsia="彩虹粗仿宋" w:hAnsi="宋体" w:cs="Arial" w:hint="eastAsia"/>
          <w:sz w:val="24"/>
        </w:rPr>
        <w:t>、基金的银行汇划费用、基金的开户费用、账户维护费用、因投资港股通标的股票而产生的各项合理费用等根据有关法律法规、《基金合同》及相应协议的规定，列入当期基金费用。</w:t>
      </w:r>
    </w:p>
    <w:p w14:paraId="6037CB5B"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基金管理人运用本基金的基金财产申购自身管理的基金的（</w:t>
      </w:r>
      <w:r>
        <w:rPr>
          <w:rFonts w:ascii="彩虹粗仿宋" w:eastAsia="彩虹粗仿宋" w:hAnsi="宋体" w:cs="Arial"/>
          <w:sz w:val="24"/>
        </w:rPr>
        <w:t>ETF除外），应当通过直销渠道申购且不得收取申购费、赎回费（按照相关法规、基金招募说明书约定应当收取，并计入基金财产的赎回费用除外）、销售服务费（如有）等销售费用。</w:t>
      </w:r>
    </w:p>
    <w:p w14:paraId="07DA8074"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14:paraId="3F3E0A7B"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1、基金管理人和基金托管人因未履行或未完全履行义务导致的费用支出或基金财产的损失；</w:t>
      </w:r>
    </w:p>
    <w:p w14:paraId="4A24DF22"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2、基金管理人和基金托管人处理与基金运作无关的事项发生的费用；</w:t>
      </w:r>
    </w:p>
    <w:p w14:paraId="0390FC03"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3、《基金合同》生效前的相关费用；</w:t>
      </w:r>
    </w:p>
    <w:p w14:paraId="48492419"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4、其他根据相关法律法规及中国证监会的有关规定不得列入基金费用的项目。</w:t>
      </w:r>
    </w:p>
    <w:p w14:paraId="6F029787"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14:paraId="517C05E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1DFB9CD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58BC3B0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2EFA120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基金管理费、基金托管费每日计提，逐日累计至每月月末，按月支付，由基金托管人根据与基金管理人核对一致的财务数据，自动在次月初5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14:paraId="5ABDCD2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C类基金份额的销售服务费每日计提，具体收取/返还方式如下：</w:t>
      </w:r>
    </w:p>
    <w:p w14:paraId="06AC924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（1）直销机构</w:t>
      </w:r>
    </w:p>
    <w:p w14:paraId="3A62494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对于C类基金份额计提的销售服务费，将在投资人赎回、转出基金份额或基金合同终止时随赎回款（或清算款）一并返还给投资人。</w:t>
      </w:r>
    </w:p>
    <w:p w14:paraId="34FDC01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（2）其他销售机构</w:t>
      </w:r>
    </w:p>
    <w:p w14:paraId="569F69B2" w14:textId="32AC5629"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投资人持续持有期限未超过一年（即365天，下同）的C类基金份额，计提的销售服务费由基金管理人向基金托管人发送基金销售服务费划款指令，基金托管人在次月初5个工作日内、按照指定的账户路径进行资金支付。若遇法定节假日、公休假等，支付日期顺延。</w:t>
      </w:r>
    </w:p>
    <w:p w14:paraId="5E15A6CB" w14:textId="6FE94C46"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对于投资人持续持有期限超过一年的C类基金份额，继续计提的销售服务费将在投资人赎回、转出相应基金份额或基金合同终止时随赎回款（或清算款）一并返还给投资人。</w:t>
      </w:r>
    </w:p>
    <w:p w14:paraId="64200EEA" w14:textId="1435FABD" w:rsidR="001E0D88" w:rsidRPr="001E0D88" w:rsidRDefault="001E0D88" w:rsidP="001E0D88">
      <w:pPr>
        <w:adjustRightInd w:val="0"/>
        <w:snapToGrid w:val="0"/>
        <w:ind w:firstLineChars="200" w:firstLine="480"/>
        <w:rPr>
          <w:rFonts w:ascii="彩虹粗仿宋" w:eastAsia="彩虹粗仿宋" w:hAnsi="宋体" w:cs="Arial"/>
          <w:sz w:val="24"/>
        </w:rPr>
      </w:pPr>
      <w:r w:rsidRPr="001E0D88">
        <w:rPr>
          <w:rFonts w:ascii="彩虹粗仿宋" w:eastAsia="彩虹粗仿宋" w:hAnsi="宋体" w:cs="Arial" w:hint="eastAsia"/>
          <w:sz w:val="24"/>
        </w:rPr>
        <w:t>因涉及相关数据，基金管理人及代销机构的销售服务费的计算和复核工作由基金管理人完成，相关信息以注册登记机构计算结果为准，基金托管人不承担复核责任。</w:t>
      </w:r>
    </w:p>
    <w:p w14:paraId="414ABAE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账户，应提前5个工作日向基金托管人出具书面的收款账户变更通知。</w:t>
      </w:r>
    </w:p>
    <w:p w14:paraId="6AF0AF1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2E7A05A2"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14:paraId="0FBAFDE3"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期间的基金费用</w:t>
      </w:r>
    </w:p>
    <w:p w14:paraId="21927B1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与侧袋账户</w:t>
      </w:r>
      <w:proofErr w:type="gramEnd"/>
      <w:r>
        <w:rPr>
          <w:rFonts w:ascii="彩虹粗仿宋" w:eastAsia="彩虹粗仿宋" w:hAnsi="宋体" w:cs="Arial" w:hint="eastAsia"/>
          <w:sz w:val="24"/>
        </w:rPr>
        <w:t>有关的费用可以</w:t>
      </w:r>
      <w:proofErr w:type="gramStart"/>
      <w:r>
        <w:rPr>
          <w:rFonts w:ascii="彩虹粗仿宋" w:eastAsia="彩虹粗仿宋" w:hAnsi="宋体" w:cs="Arial" w:hint="eastAsia"/>
          <w:sz w:val="24"/>
        </w:rPr>
        <w:t>从侧袋账户</w:t>
      </w:r>
      <w:proofErr w:type="gramEnd"/>
      <w:r>
        <w:rPr>
          <w:rFonts w:ascii="彩虹粗仿宋" w:eastAsia="彩虹粗仿宋" w:hAnsi="宋体" w:cs="Arial" w:hint="eastAsia"/>
          <w:sz w:val="24"/>
        </w:rPr>
        <w:t>中列支，但应</w:t>
      </w:r>
      <w:proofErr w:type="gramStart"/>
      <w:r>
        <w:rPr>
          <w:rFonts w:ascii="彩虹粗仿宋" w:eastAsia="彩虹粗仿宋" w:hAnsi="宋体" w:cs="Arial" w:hint="eastAsia"/>
          <w:sz w:val="24"/>
        </w:rPr>
        <w:t>待侧袋</w:t>
      </w:r>
      <w:proofErr w:type="gramEnd"/>
      <w:r>
        <w:rPr>
          <w:rFonts w:ascii="彩虹粗仿宋" w:eastAsia="彩虹粗仿宋" w:hAnsi="宋体" w:cs="Arial" w:hint="eastAsia"/>
          <w:sz w:val="24"/>
        </w:rPr>
        <w:t>账户资产变现后方可列支，有关费用可酌情收取或减免，但不得收取管理费，详见招募说明书的规定。</w:t>
      </w:r>
    </w:p>
    <w:p w14:paraId="1A36F07F" w14:textId="77777777" w:rsidR="00B964D2" w:rsidRDefault="00B964D2">
      <w:pPr>
        <w:adjustRightInd w:val="0"/>
        <w:snapToGrid w:val="0"/>
        <w:rPr>
          <w:rFonts w:ascii="彩虹粗仿宋" w:eastAsia="彩虹粗仿宋" w:hAnsi="宋体" w:cs="Arial"/>
          <w:sz w:val="24"/>
        </w:rPr>
      </w:pPr>
    </w:p>
    <w:p w14:paraId="48B4E70B" w14:textId="77777777" w:rsidR="00B964D2" w:rsidRDefault="00BE1CEF">
      <w:pPr>
        <w:pStyle w:val="2"/>
        <w:jc w:val="center"/>
        <w:rPr>
          <w:rFonts w:ascii="彩虹粗仿宋" w:eastAsia="彩虹粗仿宋"/>
          <w:sz w:val="30"/>
        </w:rPr>
      </w:pPr>
      <w:bookmarkStart w:id="92" w:name="_Toc124325896"/>
      <w:r>
        <w:rPr>
          <w:rFonts w:ascii="彩虹粗仿宋" w:eastAsia="彩虹粗仿宋" w:hint="eastAsia"/>
          <w:sz w:val="30"/>
        </w:rPr>
        <w:t>十二、基金份额持有人名册的保管</w:t>
      </w:r>
      <w:bookmarkEnd w:id="92"/>
    </w:p>
    <w:p w14:paraId="5F105F9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123038D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5F00614C" w14:textId="77777777" w:rsidR="00B964D2" w:rsidRDefault="00B964D2">
      <w:pPr>
        <w:adjustRightInd w:val="0"/>
        <w:snapToGrid w:val="0"/>
        <w:rPr>
          <w:rFonts w:ascii="彩虹粗仿宋" w:eastAsia="彩虹粗仿宋" w:hAnsi="宋体" w:cs="Arial"/>
          <w:sz w:val="24"/>
        </w:rPr>
      </w:pPr>
    </w:p>
    <w:p w14:paraId="2CA1835E" w14:textId="77777777" w:rsidR="00B964D2" w:rsidRDefault="00BE1CEF">
      <w:pPr>
        <w:pStyle w:val="2"/>
        <w:jc w:val="center"/>
        <w:rPr>
          <w:rFonts w:ascii="彩虹粗仿宋" w:eastAsia="彩虹粗仿宋"/>
          <w:sz w:val="30"/>
        </w:rPr>
      </w:pPr>
      <w:bookmarkStart w:id="93" w:name="_Toc124325897"/>
      <w:r>
        <w:rPr>
          <w:rFonts w:ascii="彩虹粗仿宋" w:eastAsia="彩虹粗仿宋" w:hint="eastAsia"/>
          <w:sz w:val="30"/>
        </w:rPr>
        <w:t>十三、基金有关文件档案的保存</w:t>
      </w:r>
      <w:bookmarkEnd w:id="93"/>
    </w:p>
    <w:p w14:paraId="4B39700F"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758CD12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3640BFFA"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6D11A89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597CBF3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21C029E6"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641427A2" w14:textId="77777777" w:rsidR="00B964D2" w:rsidRDefault="00BE1CEF">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74414BD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（四）基金管理人和基金托管人应按各自职责完整保存原始凭证、记账凭证、基金账册、交易记录和重要合同等，承担保密义务并保存不低于法律法规规定的最低期限。</w:t>
      </w:r>
    </w:p>
    <w:p w14:paraId="080756B8" w14:textId="77777777" w:rsidR="00B964D2" w:rsidRDefault="00B964D2">
      <w:pPr>
        <w:adjustRightInd w:val="0"/>
        <w:snapToGrid w:val="0"/>
        <w:rPr>
          <w:rFonts w:ascii="彩虹粗仿宋" w:eastAsia="彩虹粗仿宋"/>
          <w:sz w:val="30"/>
          <w:szCs w:val="30"/>
        </w:rPr>
      </w:pPr>
    </w:p>
    <w:p w14:paraId="1C967BA1" w14:textId="77777777" w:rsidR="00B964D2" w:rsidRDefault="00BE1CEF">
      <w:pPr>
        <w:pStyle w:val="2"/>
        <w:jc w:val="center"/>
        <w:rPr>
          <w:rFonts w:ascii="彩虹粗仿宋" w:eastAsia="彩虹粗仿宋"/>
          <w:sz w:val="30"/>
        </w:rPr>
      </w:pPr>
      <w:bookmarkStart w:id="94" w:name="_Toc124325898"/>
      <w:bookmarkStart w:id="95" w:name="_Hlk117764337"/>
      <w:r>
        <w:rPr>
          <w:rFonts w:ascii="彩虹粗仿宋" w:eastAsia="彩虹粗仿宋" w:hint="eastAsia"/>
          <w:sz w:val="30"/>
        </w:rPr>
        <w:lastRenderedPageBreak/>
        <w:t>十四、基金管理人和基金托管人的更换</w:t>
      </w:r>
      <w:bookmarkEnd w:id="94"/>
    </w:p>
    <w:p w14:paraId="54119E7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42F8FFF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657F89A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68D1BCD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（1）被依法取消基金管理资格；</w:t>
      </w:r>
    </w:p>
    <w:p w14:paraId="51465BC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（2）被基金份额持有人大会解任；</w:t>
      </w:r>
    </w:p>
    <w:p w14:paraId="133B825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（3）依法解散、被依法撤销或被依法宣告破产；</w:t>
      </w:r>
    </w:p>
    <w:p w14:paraId="6D03FB0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（4）法律法规及中国证监会规定的和《基金合同》约定的其他情形。</w:t>
      </w:r>
    </w:p>
    <w:p w14:paraId="4CC30B72"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719AF9A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6167F1A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管理人由基金托管人或由单独或合计持有10%以上（含10%）基金份额的基金份额持有人提名；</w:t>
      </w:r>
    </w:p>
    <w:p w14:paraId="6BAD7A7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93F096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（3）临时基金管理人：</w:t>
      </w:r>
      <w:proofErr w:type="gramStart"/>
      <w:r>
        <w:rPr>
          <w:rFonts w:ascii="彩虹粗仿宋" w:eastAsia="彩虹粗仿宋" w:hAnsi="宋体" w:cs="Arial"/>
          <w:sz w:val="24"/>
        </w:rPr>
        <w:t>新任基金</w:t>
      </w:r>
      <w:proofErr w:type="gramEnd"/>
      <w:r>
        <w:rPr>
          <w:rFonts w:ascii="彩虹粗仿宋" w:eastAsia="彩虹粗仿宋" w:hAnsi="宋体" w:cs="Arial"/>
          <w:sz w:val="24"/>
        </w:rPr>
        <w:t>管理人产生之前，由中国证监会指定临时基金管理人；</w:t>
      </w:r>
    </w:p>
    <w:p w14:paraId="0259ACC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（4）备案：基金份额持有人大会更换基金管理人的决议须报中国证监会备案；</w:t>
      </w:r>
    </w:p>
    <w:p w14:paraId="45465D2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（5）公告：基金管理人更换后，由基金托管人在更换基金管理人的基金份额持有人大会决议生效后2日内在规定媒介公告；</w:t>
      </w:r>
    </w:p>
    <w:p w14:paraId="3771967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（6）交接：原任基金管理人职责终止的，应妥善保管基金管理业务资料，及时向临时基金管理人或</w:t>
      </w:r>
      <w:proofErr w:type="gramStart"/>
      <w:r>
        <w:rPr>
          <w:rFonts w:ascii="彩虹粗仿宋" w:eastAsia="彩虹粗仿宋" w:hAnsi="宋体" w:cs="Arial"/>
          <w:sz w:val="24"/>
        </w:rPr>
        <w:t>新任基金</w:t>
      </w:r>
      <w:proofErr w:type="gramEnd"/>
      <w:r>
        <w:rPr>
          <w:rFonts w:ascii="彩虹粗仿宋" w:eastAsia="彩虹粗仿宋" w:hAnsi="宋体" w:cs="Arial"/>
          <w:sz w:val="24"/>
        </w:rPr>
        <w:t>管理人办理基金管理业务的移交手续，临时基金管理人或</w:t>
      </w:r>
      <w:proofErr w:type="gramStart"/>
      <w:r>
        <w:rPr>
          <w:rFonts w:ascii="彩虹粗仿宋" w:eastAsia="彩虹粗仿宋" w:hAnsi="宋体" w:cs="Arial"/>
          <w:sz w:val="24"/>
        </w:rPr>
        <w:t>新任基金</w:t>
      </w:r>
      <w:proofErr w:type="gramEnd"/>
      <w:r>
        <w:rPr>
          <w:rFonts w:ascii="彩虹粗仿宋" w:eastAsia="彩虹粗仿宋" w:hAnsi="宋体" w:cs="Arial"/>
          <w:sz w:val="24"/>
        </w:rPr>
        <w:t>管理人应及时接收。临时基金管理人或</w:t>
      </w:r>
      <w:proofErr w:type="gramStart"/>
      <w:r>
        <w:rPr>
          <w:rFonts w:ascii="彩虹粗仿宋" w:eastAsia="彩虹粗仿宋" w:hAnsi="宋体" w:cs="Arial"/>
          <w:sz w:val="24"/>
        </w:rPr>
        <w:t>新任基金</w:t>
      </w:r>
      <w:proofErr w:type="gramEnd"/>
      <w:r>
        <w:rPr>
          <w:rFonts w:ascii="彩虹粗仿宋" w:eastAsia="彩虹粗仿宋" w:hAnsi="宋体" w:cs="Arial"/>
          <w:sz w:val="24"/>
        </w:rPr>
        <w:t>管理人应与基金托管人核对基金资产总值和基金资产净值；</w:t>
      </w:r>
    </w:p>
    <w:p w14:paraId="1BA61B2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（7）审计：原任基金管理人职责终止的，应当按照法律法规规定聘请会计师事务所对基金财产进行审计，并将审计结果予以公告，同时报中国证监会备案。审计费用在基金财产中列支；</w:t>
      </w:r>
    </w:p>
    <w:p w14:paraId="4E6CDC1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（8）基金名称变更：基金管理人更换后，如果原任或</w:t>
      </w:r>
      <w:proofErr w:type="gramStart"/>
      <w:r>
        <w:rPr>
          <w:rFonts w:ascii="彩虹粗仿宋" w:eastAsia="彩虹粗仿宋" w:hAnsi="宋体" w:cs="Arial"/>
          <w:sz w:val="24"/>
        </w:rPr>
        <w:t>新任基金</w:t>
      </w:r>
      <w:proofErr w:type="gramEnd"/>
      <w:r>
        <w:rPr>
          <w:rFonts w:ascii="彩虹粗仿宋" w:eastAsia="彩虹粗仿宋" w:hAnsi="宋体" w:cs="Arial"/>
          <w:sz w:val="24"/>
        </w:rPr>
        <w:t>管理人要求，应按其要求替换或删除基金名称中与原</w:t>
      </w:r>
      <w:r>
        <w:rPr>
          <w:rFonts w:ascii="彩虹粗仿宋" w:eastAsia="彩虹粗仿宋" w:hAnsi="宋体" w:cs="Arial" w:hint="eastAsia"/>
          <w:sz w:val="24"/>
        </w:rPr>
        <w:t>任</w:t>
      </w:r>
      <w:r>
        <w:rPr>
          <w:rFonts w:ascii="彩虹粗仿宋" w:eastAsia="彩虹粗仿宋" w:hAnsi="宋体" w:cs="Arial"/>
          <w:sz w:val="24"/>
        </w:rPr>
        <w:t>基金管理人有关的名称字样。</w:t>
      </w:r>
    </w:p>
    <w:p w14:paraId="41455E23"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D394C7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3A38473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1C10700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（1）被依法取消基金托管资格；</w:t>
      </w:r>
    </w:p>
    <w:p w14:paraId="3DA6AA1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（2）被基金份额持有人大会解任；</w:t>
      </w:r>
    </w:p>
    <w:p w14:paraId="3DD7FD43"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（3）依法解散、被依法撤销或被依法宣告破产；</w:t>
      </w:r>
    </w:p>
    <w:p w14:paraId="221BC31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（4）法律法规及中国证监会规定的和《基金合同》约定的其他情形。</w:t>
      </w:r>
    </w:p>
    <w:p w14:paraId="1E1720D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7853C4C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托管人由基金管理人或由单独或合计持有10%以上（含10%）基金份额的基金份额持有人提名；</w:t>
      </w:r>
    </w:p>
    <w:p w14:paraId="40AFE22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682C08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（3）临时基金托管人：</w:t>
      </w:r>
      <w:proofErr w:type="gramStart"/>
      <w:r>
        <w:rPr>
          <w:rFonts w:ascii="彩虹粗仿宋" w:eastAsia="彩虹粗仿宋" w:hAnsi="宋体" w:cs="Arial"/>
          <w:sz w:val="24"/>
        </w:rPr>
        <w:t>新任基金</w:t>
      </w:r>
      <w:proofErr w:type="gramEnd"/>
      <w:r>
        <w:rPr>
          <w:rFonts w:ascii="彩虹粗仿宋" w:eastAsia="彩虹粗仿宋" w:hAnsi="宋体" w:cs="Arial"/>
          <w:sz w:val="24"/>
        </w:rPr>
        <w:t>托管人产生之前，由中国证监会指定临时基</w:t>
      </w:r>
      <w:r>
        <w:rPr>
          <w:rFonts w:ascii="彩虹粗仿宋" w:eastAsia="彩虹粗仿宋" w:hAnsi="宋体" w:cs="Arial"/>
          <w:sz w:val="24"/>
        </w:rPr>
        <w:lastRenderedPageBreak/>
        <w:t>金托管人；</w:t>
      </w:r>
    </w:p>
    <w:p w14:paraId="5120481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（4）备案：基金份额持有人大会更换基金托管人的决议须报中国证监会备案；</w:t>
      </w:r>
    </w:p>
    <w:p w14:paraId="5E7A86C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（5）公告：基金托管人更换后，由基金管理人在更换基金托管人的基金份额持有人大会决议生效后2日内在规定媒介公告；</w:t>
      </w:r>
    </w:p>
    <w:p w14:paraId="1D9153C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（6）交接：原任基金托管人职责终止的，应当妥善保管基金财产和基金托管业务资料，及时办理基金财产和基金托管业务的移交手续，</w:t>
      </w:r>
      <w:proofErr w:type="gramStart"/>
      <w:r>
        <w:rPr>
          <w:rFonts w:ascii="彩虹粗仿宋" w:eastAsia="彩虹粗仿宋" w:hAnsi="宋体" w:cs="Arial"/>
          <w:sz w:val="24"/>
        </w:rPr>
        <w:t>新任基金</w:t>
      </w:r>
      <w:proofErr w:type="gramEnd"/>
      <w:r>
        <w:rPr>
          <w:rFonts w:ascii="彩虹粗仿宋" w:eastAsia="彩虹粗仿宋" w:hAnsi="宋体" w:cs="Arial"/>
          <w:sz w:val="24"/>
        </w:rPr>
        <w:t>托管人或者临时基金托管人应当及时接收。</w:t>
      </w:r>
      <w:proofErr w:type="gramStart"/>
      <w:r>
        <w:rPr>
          <w:rFonts w:ascii="彩虹粗仿宋" w:eastAsia="彩虹粗仿宋" w:hAnsi="宋体" w:cs="Arial"/>
          <w:sz w:val="24"/>
        </w:rPr>
        <w:t>新任基金</w:t>
      </w:r>
      <w:proofErr w:type="gramEnd"/>
      <w:r>
        <w:rPr>
          <w:rFonts w:ascii="彩虹粗仿宋" w:eastAsia="彩虹粗仿宋" w:hAnsi="宋体" w:cs="Arial"/>
          <w:sz w:val="24"/>
        </w:rPr>
        <w:t>托管人或临时基金托管人应与基金管理人核对基金资产总值和基金资产净值；</w:t>
      </w:r>
    </w:p>
    <w:p w14:paraId="6B47470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（7）审计：原任基金托管人职责终止的，应当按照法律法规规定聘请会计师事务所对基金财产进行审计，并将审计结果予以公告，同时报中国证监会备案。审计费用在基金财产中列支。</w:t>
      </w:r>
    </w:p>
    <w:p w14:paraId="287C42D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421DED0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111B101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基金管理人和基金托管人的更换分别按上述程序进行；</w:t>
      </w:r>
    </w:p>
    <w:p w14:paraId="5645276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公告：</w:t>
      </w:r>
      <w:proofErr w:type="gramStart"/>
      <w:r>
        <w:rPr>
          <w:rFonts w:ascii="彩虹粗仿宋" w:eastAsia="彩虹粗仿宋" w:hAnsi="宋体" w:cs="Arial"/>
          <w:sz w:val="24"/>
        </w:rPr>
        <w:t>新任基金</w:t>
      </w:r>
      <w:proofErr w:type="gramEnd"/>
      <w:r>
        <w:rPr>
          <w:rFonts w:ascii="彩虹粗仿宋" w:eastAsia="彩虹粗仿宋" w:hAnsi="宋体" w:cs="Arial"/>
          <w:sz w:val="24"/>
        </w:rPr>
        <w:t>管理人和</w:t>
      </w:r>
      <w:proofErr w:type="gramStart"/>
      <w:r>
        <w:rPr>
          <w:rFonts w:ascii="彩虹粗仿宋" w:eastAsia="彩虹粗仿宋" w:hAnsi="宋体" w:cs="Arial"/>
          <w:sz w:val="24"/>
        </w:rPr>
        <w:t>新任基金</w:t>
      </w:r>
      <w:proofErr w:type="gramEnd"/>
      <w:r>
        <w:rPr>
          <w:rFonts w:ascii="彩虹粗仿宋" w:eastAsia="彩虹粗仿宋" w:hAnsi="宋体" w:cs="Arial"/>
          <w:sz w:val="24"/>
        </w:rPr>
        <w:t>托管人应在更换基金管理人和基金托管人的基金份额持有人大会决议生效后2日内在规定媒介上联合公告。</w:t>
      </w:r>
    </w:p>
    <w:p w14:paraId="3606A87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管理人或临时基金管理人接收基金管理业务，或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接收基金财产和基金托管业务前，原任基金管理人或原任基金托管人应继续履行相关职责，并保证不做出对基金份额持有人的利益造成损害的行为。原任基金管理人或原任基金托管人在继续履行相关职责期间，仍有权按照基金合同的规定收取基金管理费或基金托管费。</w:t>
      </w:r>
    </w:p>
    <w:p w14:paraId="3878A5B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w:t>
      </w:r>
      <w:proofErr w:type="gramStart"/>
      <w:r>
        <w:rPr>
          <w:rFonts w:ascii="彩虹粗仿宋" w:eastAsia="彩虹粗仿宋" w:hAnsi="宋体" w:cs="Arial" w:hint="eastAsia"/>
          <w:sz w:val="24"/>
        </w:rPr>
        <w:t>分关于</w:t>
      </w:r>
      <w:proofErr w:type="gramEnd"/>
      <w:r>
        <w:rPr>
          <w:rFonts w:ascii="彩虹粗仿宋" w:eastAsia="彩虹粗仿宋" w:hAnsi="宋体" w:cs="Arial" w:hint="eastAsia"/>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77AD6FF" w14:textId="77777777" w:rsidR="00B964D2" w:rsidRDefault="00B964D2">
      <w:pPr>
        <w:adjustRightInd w:val="0"/>
        <w:snapToGrid w:val="0"/>
        <w:rPr>
          <w:rFonts w:ascii="彩虹粗仿宋" w:eastAsia="彩虹粗仿宋" w:hAnsi="宋体" w:cs="Arial"/>
          <w:sz w:val="24"/>
        </w:rPr>
      </w:pPr>
    </w:p>
    <w:p w14:paraId="0E96A2DF" w14:textId="77777777" w:rsidR="00B964D2" w:rsidRDefault="00BE1CEF">
      <w:pPr>
        <w:pStyle w:val="2"/>
        <w:jc w:val="center"/>
        <w:rPr>
          <w:rFonts w:ascii="彩虹粗仿宋" w:eastAsia="彩虹粗仿宋"/>
          <w:sz w:val="30"/>
        </w:rPr>
      </w:pPr>
      <w:bookmarkStart w:id="96" w:name="_Toc124325899"/>
      <w:bookmarkEnd w:id="95"/>
      <w:r>
        <w:rPr>
          <w:rFonts w:ascii="彩虹粗仿宋" w:eastAsia="彩虹粗仿宋" w:hint="eastAsia"/>
          <w:sz w:val="30"/>
        </w:rPr>
        <w:t>十五、禁止行为</w:t>
      </w:r>
      <w:bookmarkEnd w:id="96"/>
    </w:p>
    <w:p w14:paraId="43F2FB43"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5B9E004C" w14:textId="77777777" w:rsidR="00B964D2" w:rsidRDefault="00BE1CEF">
      <w:pPr>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577E3DF9" w14:textId="77777777" w:rsidR="00B964D2" w:rsidRDefault="00BE1CEF">
      <w:pPr>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211C558C" w14:textId="77777777" w:rsidR="00B964D2" w:rsidRDefault="00BE1CEF">
      <w:pPr>
        <w:ind w:firstLineChars="200" w:firstLine="480"/>
        <w:rPr>
          <w:rFonts w:ascii="彩虹粗仿宋" w:eastAsia="彩虹粗仿宋"/>
          <w:sz w:val="24"/>
        </w:rPr>
      </w:pPr>
      <w:r>
        <w:rPr>
          <w:rFonts w:ascii="彩虹粗仿宋" w:eastAsia="彩虹粗仿宋" w:hint="eastAsia"/>
          <w:sz w:val="24"/>
        </w:rPr>
        <w:t>（三）基金管理人、基金托管人利用基金财产或职务之便为基金份额持有人以外的第三人牟取利益。</w:t>
      </w:r>
    </w:p>
    <w:p w14:paraId="570A9866" w14:textId="77777777" w:rsidR="00B964D2" w:rsidRDefault="00BE1CEF">
      <w:pPr>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4C857844"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3763A22B" w14:textId="77777777" w:rsidR="00B964D2" w:rsidRDefault="00BE1CEF">
      <w:pPr>
        <w:pStyle w:val="a6"/>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045120D2"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3764B98F" w14:textId="77777777" w:rsidR="00B964D2" w:rsidRDefault="00BE1CEF">
      <w:pPr>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（八）基金托管人私自动用或处分基金财产，根据基金管理人的合法指令、《基金合同》或托管协议的规定进行处分的除外。</w:t>
      </w:r>
    </w:p>
    <w:p w14:paraId="2E2F6F4D" w14:textId="77777777" w:rsidR="00B964D2" w:rsidRDefault="00BE1CEF">
      <w:pPr>
        <w:ind w:firstLineChars="200" w:firstLine="480"/>
        <w:rPr>
          <w:rFonts w:ascii="彩虹粗仿宋" w:eastAsia="彩虹粗仿宋" w:hAnsi="宋体" w:cs="Arial"/>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用于下列投资或者活动：1、承销证券；2、违反规定向他人贷款或者提供担保；3、从事承担无限责任的投资；4、向其基金管理人、基金托管人出资；</w:t>
      </w:r>
      <w:r>
        <w:rPr>
          <w:rFonts w:ascii="彩虹粗仿宋" w:eastAsia="彩虹粗仿宋"/>
          <w:sz w:val="24"/>
        </w:rPr>
        <w:t>5</w:t>
      </w:r>
      <w:r>
        <w:rPr>
          <w:rFonts w:ascii="彩虹粗仿宋" w:eastAsia="彩虹粗仿宋" w:hint="eastAsia"/>
          <w:sz w:val="24"/>
        </w:rPr>
        <w:t>、从事内幕交易、操纵证券交易价格及其他不正当的证券交易活动；</w:t>
      </w:r>
      <w:r>
        <w:rPr>
          <w:rFonts w:ascii="彩虹粗仿宋" w:eastAsia="彩虹粗仿宋"/>
          <w:sz w:val="24"/>
        </w:rPr>
        <w:t>6</w:t>
      </w:r>
      <w:r>
        <w:rPr>
          <w:rFonts w:ascii="彩虹粗仿宋" w:eastAsia="彩虹粗仿宋" w:hint="eastAsia"/>
          <w:sz w:val="24"/>
        </w:rPr>
        <w:t>、法律、行政法规和中国证监会规定禁止的其他活动。</w:t>
      </w:r>
      <w:r>
        <w:rPr>
          <w:rFonts w:ascii="彩虹粗仿宋" w:eastAsia="彩虹粗仿宋" w:cs="Arial" w:hint="eastAsia"/>
          <w:sz w:val="24"/>
        </w:rPr>
        <w:t>法律法规或监管部门取消或变更上述限制，如适用于本基金，基金管理人在履行适当程序后，则本基金投资不再受相关限制或以变更后的规定为准。</w:t>
      </w:r>
    </w:p>
    <w:p w14:paraId="6CCDBA55"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依照法律、行政法规有关规定，由中国证监会规定禁止基金管理人、基金托管人从事的其他行为。</w:t>
      </w:r>
    </w:p>
    <w:p w14:paraId="2B723528" w14:textId="77777777" w:rsidR="00B964D2" w:rsidRDefault="00B964D2">
      <w:pPr>
        <w:adjustRightInd w:val="0"/>
        <w:snapToGrid w:val="0"/>
        <w:rPr>
          <w:rFonts w:ascii="彩虹粗仿宋" w:eastAsia="彩虹粗仿宋"/>
          <w:sz w:val="30"/>
          <w:szCs w:val="30"/>
        </w:rPr>
      </w:pPr>
    </w:p>
    <w:p w14:paraId="576E171F" w14:textId="77777777" w:rsidR="00B964D2" w:rsidRDefault="00BE1CEF">
      <w:pPr>
        <w:pStyle w:val="2"/>
        <w:jc w:val="center"/>
        <w:rPr>
          <w:rFonts w:ascii="彩虹粗仿宋" w:eastAsia="彩虹粗仿宋"/>
          <w:sz w:val="30"/>
        </w:rPr>
      </w:pPr>
      <w:bookmarkStart w:id="97" w:name="_Toc124325900"/>
      <w:bookmarkStart w:id="98" w:name="_Hlk117764526"/>
      <w:r>
        <w:rPr>
          <w:rFonts w:ascii="彩虹粗仿宋" w:eastAsia="彩虹粗仿宋" w:hint="eastAsia"/>
          <w:sz w:val="30"/>
        </w:rPr>
        <w:t>十六、托管协议的变更、终止与基金财产的清算</w:t>
      </w:r>
      <w:bookmarkEnd w:id="97"/>
    </w:p>
    <w:p w14:paraId="3579E71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20A232B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09818C6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49F3013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0A815EC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201D2DE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1A764F82"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47D4F33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37437CB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3314A27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9AA9B1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610C504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3070202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588EAE7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74C808C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3906D786"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5686FFE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（5）聘请符合《中华人民共和国证券法》规定的会计师事务所对清算报告进行外部审计，聘请律师事务所对清算报告出具法律意见书；</w:t>
      </w:r>
    </w:p>
    <w:p w14:paraId="1415158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07E8454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562282A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21B67DE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51816F2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w:t>
      </w:r>
      <w:r>
        <w:rPr>
          <w:rFonts w:ascii="彩虹粗仿宋" w:eastAsia="彩虹粗仿宋" w:hAnsi="宋体" w:cs="Arial" w:hint="eastAsia"/>
          <w:sz w:val="24"/>
        </w:rPr>
        <w:lastRenderedPageBreak/>
        <w:t>费用，清算费用由基金财产清算小组优先从基金剩余财产中支付。</w:t>
      </w:r>
    </w:p>
    <w:p w14:paraId="7A6CFD9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64B75E09"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39E9D99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其中，对于投资者通过直销机构认购、申购的C类基金份额计提的销售服务费，或者通过其他销售机构认购、申购且持续持有期限超过一年的C类基金份额继续计提的销售服务费，都将在基金合同终止时随剩余资产分配款项一并返还给投资者。</w:t>
      </w:r>
    </w:p>
    <w:p w14:paraId="49205764"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621C1D7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1B6C471"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5C00639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基金财产清算账册及有关文件由基金托管人保存，保存期限不低于法律法规规定的最低期限。</w:t>
      </w:r>
    </w:p>
    <w:p w14:paraId="15FA6537" w14:textId="77777777" w:rsidR="00B964D2" w:rsidRDefault="00BE1CEF">
      <w:pPr>
        <w:pStyle w:val="2"/>
        <w:jc w:val="center"/>
        <w:rPr>
          <w:rFonts w:ascii="彩虹粗仿宋" w:eastAsia="彩虹粗仿宋"/>
          <w:sz w:val="30"/>
        </w:rPr>
      </w:pPr>
      <w:bookmarkStart w:id="99" w:name="_Toc124325901"/>
      <w:bookmarkEnd w:id="98"/>
      <w:r>
        <w:rPr>
          <w:rFonts w:ascii="彩虹粗仿宋" w:eastAsia="彩虹粗仿宋" w:hint="eastAsia"/>
          <w:sz w:val="30"/>
        </w:rPr>
        <w:t>十七、违约责任</w:t>
      </w:r>
      <w:bookmarkEnd w:id="99"/>
    </w:p>
    <w:p w14:paraId="4209A707" w14:textId="77777777" w:rsidR="00B964D2" w:rsidRDefault="00BE1CEF">
      <w:pPr>
        <w:adjustRightInd w:val="0"/>
        <w:snapToGrid w:val="0"/>
        <w:ind w:firstLineChars="200" w:firstLine="480"/>
        <w:outlineLvl w:val="0"/>
        <w:rPr>
          <w:rFonts w:ascii="彩虹粗仿宋" w:eastAsia="彩虹粗仿宋" w:hAnsi="宋体" w:cs="Arial"/>
          <w:sz w:val="24"/>
        </w:rPr>
      </w:pPr>
      <w:bookmarkStart w:id="100" w:name="_Hlk151565984"/>
      <w:r>
        <w:rPr>
          <w:rFonts w:ascii="彩虹粗仿宋" w:eastAsia="彩虹粗仿宋" w:hAnsi="宋体" w:cs="Arial" w:hint="eastAsia"/>
          <w:sz w:val="24"/>
        </w:rPr>
        <w:t>（一）基金管理人、基金托管人不履行本协议或履行本协议不符合约定的，应当承担违约责任。</w:t>
      </w:r>
    </w:p>
    <w:p w14:paraId="07598C4A"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失的，应当分别对各自的行为依法承担赔偿责任；因共同行为给基金财产或者基金份额持有人造成损失的，应当承担连带赔偿责任。对损失的赔偿，仅限于直接损失。</w:t>
      </w:r>
    </w:p>
    <w:p w14:paraId="1167B712"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2E6EC41"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1、不可抗力；</w:t>
      </w:r>
    </w:p>
    <w:p w14:paraId="000254BB"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7479389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3、在没有过错的情况下，基金管理人由于按照《基金合同》规定的投资原则行使或不行使其投资权而造成的损失等；</w:t>
      </w:r>
    </w:p>
    <w:p w14:paraId="45639B4E"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697DBF18"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818DE41"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D13119F" w14:textId="77777777" w:rsidR="00B964D2" w:rsidRDefault="00BE1CE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w:t>
      </w:r>
      <w:r>
        <w:rPr>
          <w:rFonts w:ascii="彩虹粗仿宋" w:eastAsia="彩虹粗仿宋" w:hAnsi="宋体" w:cs="Arial" w:hint="eastAsia"/>
          <w:sz w:val="24"/>
        </w:rPr>
        <w:lastRenderedPageBreak/>
        <w:t>管理人和基金托管人虽然已经采取必要、适当、合理的措施进行检查，但是未能发现错误</w:t>
      </w:r>
      <w:bookmarkStart w:id="101" w:name="_Hlk151567170"/>
      <w:r>
        <w:rPr>
          <w:rFonts w:ascii="彩虹粗仿宋" w:eastAsia="彩虹粗仿宋" w:hAnsi="宋体" w:cs="Arial" w:hint="eastAsia"/>
          <w:sz w:val="24"/>
        </w:rPr>
        <w:t>或因前述原因未能避免或更正错误</w:t>
      </w:r>
      <w:bookmarkEnd w:id="101"/>
      <w:r>
        <w:rPr>
          <w:rFonts w:ascii="彩虹粗仿宋" w:eastAsia="彩虹粗仿宋" w:hAnsi="宋体" w:cs="Arial" w:hint="eastAsia"/>
          <w:sz w:val="24"/>
        </w:rPr>
        <w:t>的，由此造成基金财产或投资人损失，基金管理人和基金托管人免除赔偿责任。但是基金管理人和基金托管人应积极采取必要的措施消除或减轻由此造成的影响。</w:t>
      </w:r>
    </w:p>
    <w:p w14:paraId="2F97C878" w14:textId="77777777" w:rsidR="00B964D2" w:rsidRDefault="00B964D2">
      <w:pPr>
        <w:adjustRightInd w:val="0"/>
        <w:snapToGrid w:val="0"/>
        <w:outlineLvl w:val="0"/>
        <w:rPr>
          <w:rFonts w:ascii="彩虹粗仿宋" w:eastAsia="彩虹粗仿宋" w:hAnsi="宋体" w:cs="Arial"/>
          <w:sz w:val="24"/>
        </w:rPr>
      </w:pPr>
    </w:p>
    <w:p w14:paraId="6CF276E9" w14:textId="77777777" w:rsidR="00B964D2" w:rsidRDefault="00BE1CEF">
      <w:pPr>
        <w:pStyle w:val="2"/>
        <w:jc w:val="center"/>
        <w:rPr>
          <w:rFonts w:ascii="彩虹粗仿宋" w:eastAsia="彩虹粗仿宋"/>
          <w:sz w:val="30"/>
        </w:rPr>
      </w:pPr>
      <w:bookmarkStart w:id="102" w:name="_Toc124325902"/>
      <w:bookmarkStart w:id="103" w:name="_Hlk155969969"/>
      <w:bookmarkEnd w:id="100"/>
      <w:r>
        <w:rPr>
          <w:rFonts w:ascii="彩虹粗仿宋" w:eastAsia="彩虹粗仿宋" w:hint="eastAsia"/>
          <w:sz w:val="30"/>
        </w:rPr>
        <w:t>十八、争议解决方式</w:t>
      </w:r>
      <w:bookmarkEnd w:id="102"/>
    </w:p>
    <w:p w14:paraId="2CC8C84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各方当事人均有约束力，除非仲裁裁决另有决定，仲裁费用由败诉方承担。</w:t>
      </w:r>
    </w:p>
    <w:p w14:paraId="2DB6FF9D"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07904F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本协议受中国法律（为本托管协议之目的，不含港澳台地区法律）管辖并从其解释。</w:t>
      </w:r>
    </w:p>
    <w:bookmarkEnd w:id="103"/>
    <w:p w14:paraId="1DC1981C" w14:textId="77777777" w:rsidR="00B964D2" w:rsidRDefault="00B964D2">
      <w:pPr>
        <w:adjustRightInd w:val="0"/>
        <w:snapToGrid w:val="0"/>
        <w:rPr>
          <w:rFonts w:ascii="彩虹粗仿宋" w:eastAsia="彩虹粗仿宋" w:hAnsi="宋体" w:cs="Arial"/>
          <w:sz w:val="24"/>
        </w:rPr>
      </w:pPr>
    </w:p>
    <w:p w14:paraId="26F52C1C" w14:textId="77777777" w:rsidR="00B964D2" w:rsidRDefault="00BE1CEF">
      <w:pPr>
        <w:pStyle w:val="2"/>
        <w:jc w:val="center"/>
        <w:rPr>
          <w:rFonts w:ascii="彩虹粗仿宋" w:eastAsia="彩虹粗仿宋"/>
          <w:sz w:val="30"/>
        </w:rPr>
      </w:pPr>
      <w:bookmarkStart w:id="104" w:name="_Toc124325903"/>
      <w:r>
        <w:rPr>
          <w:rFonts w:ascii="彩虹粗仿宋" w:eastAsia="彩虹粗仿宋" w:hint="eastAsia"/>
          <w:sz w:val="30"/>
        </w:rPr>
        <w:t>十九、托管协议的效力</w:t>
      </w:r>
      <w:bookmarkEnd w:id="104"/>
    </w:p>
    <w:p w14:paraId="26AA0205"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631C371B"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4C7AF6FA"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（二）托管协议自《基金合同》成立之日起成立，自《基金合同》生效之日起生效。托管协议的有效期自其生效之日起至基金财产清算报告报中国证监会备案并公告之日止。</w:t>
      </w:r>
    </w:p>
    <w:p w14:paraId="2461AB70"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51FAC0A0" w14:textId="77777777" w:rsidR="00B964D2" w:rsidRDefault="00BE1CEF">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（四）本协议一式三份，基金管理人持一份，基金托管人持一份，上报监管机构一份，每份具有同等的法律效力。</w:t>
      </w:r>
    </w:p>
    <w:p w14:paraId="1BBCAB45" w14:textId="77777777" w:rsidR="00B964D2" w:rsidRDefault="00B964D2">
      <w:pPr>
        <w:adjustRightInd w:val="0"/>
        <w:snapToGrid w:val="0"/>
        <w:rPr>
          <w:rFonts w:ascii="彩虹粗仿宋" w:eastAsia="彩虹粗仿宋" w:hAnsi="宋体" w:cs="Arial"/>
          <w:sz w:val="24"/>
        </w:rPr>
      </w:pPr>
    </w:p>
    <w:p w14:paraId="3003342F" w14:textId="77777777" w:rsidR="00B964D2" w:rsidRDefault="00BE1CEF">
      <w:pPr>
        <w:pStyle w:val="2"/>
        <w:jc w:val="center"/>
        <w:rPr>
          <w:rFonts w:ascii="彩虹粗仿宋" w:eastAsia="彩虹粗仿宋"/>
          <w:sz w:val="30"/>
        </w:rPr>
      </w:pPr>
      <w:bookmarkStart w:id="105" w:name="_Toc124325904"/>
      <w:r>
        <w:rPr>
          <w:rFonts w:ascii="彩虹粗仿宋" w:eastAsia="彩虹粗仿宋" w:hint="eastAsia"/>
          <w:sz w:val="30"/>
        </w:rPr>
        <w:t>二十、其他事项</w:t>
      </w:r>
      <w:bookmarkEnd w:id="105"/>
    </w:p>
    <w:p w14:paraId="05F5B8CF"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3EBF867C"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497201B" w14:textId="77777777" w:rsidR="00B964D2" w:rsidRDefault="00B964D2">
      <w:pPr>
        <w:adjustRightInd w:val="0"/>
        <w:snapToGrid w:val="0"/>
        <w:rPr>
          <w:rFonts w:ascii="彩虹粗仿宋" w:eastAsia="彩虹粗仿宋"/>
          <w:b/>
          <w:bCs/>
        </w:rPr>
      </w:pPr>
    </w:p>
    <w:p w14:paraId="44B79C93" w14:textId="77777777" w:rsidR="00B964D2" w:rsidRDefault="00BE1CEF">
      <w:pPr>
        <w:pStyle w:val="2"/>
        <w:jc w:val="center"/>
        <w:rPr>
          <w:rFonts w:ascii="彩虹粗仿宋" w:eastAsia="彩虹粗仿宋"/>
          <w:sz w:val="30"/>
        </w:rPr>
      </w:pPr>
      <w:bookmarkStart w:id="106" w:name="_Toc124325905"/>
      <w:bookmarkStart w:id="107" w:name="_GoBack"/>
      <w:bookmarkEnd w:id="107"/>
      <w:r>
        <w:rPr>
          <w:rFonts w:ascii="彩虹粗仿宋" w:eastAsia="彩虹粗仿宋" w:hint="eastAsia"/>
          <w:sz w:val="30"/>
        </w:rPr>
        <w:lastRenderedPageBreak/>
        <w:t>二十一、托管协议的签订</w:t>
      </w:r>
      <w:bookmarkEnd w:id="106"/>
    </w:p>
    <w:p w14:paraId="52FE9B67" w14:textId="77777777" w:rsidR="00B964D2" w:rsidRDefault="00BE1CE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0C9C9CC2" w14:textId="77777777" w:rsidR="00B964D2" w:rsidRDefault="00B964D2">
      <w:pPr>
        <w:adjustRightInd w:val="0"/>
        <w:snapToGrid w:val="0"/>
        <w:ind w:firstLineChars="200" w:firstLine="480"/>
        <w:rPr>
          <w:rFonts w:ascii="彩虹粗仿宋" w:eastAsia="彩虹粗仿宋" w:hAnsi="宋体" w:cs="Arial"/>
          <w:sz w:val="24"/>
        </w:rPr>
        <w:sectPr w:rsidR="00B964D2">
          <w:headerReference w:type="default" r:id="rId8"/>
          <w:footerReference w:type="default" r:id="rId9"/>
          <w:pgSz w:w="11906" w:h="16838"/>
          <w:pgMar w:top="1418" w:right="1701" w:bottom="1418" w:left="1701" w:header="851" w:footer="992" w:gutter="0"/>
          <w:pgNumType w:start="1"/>
          <w:cols w:space="425"/>
          <w:docGrid w:type="lines" w:linePitch="312"/>
        </w:sectPr>
      </w:pPr>
    </w:p>
    <w:p w14:paraId="6F3665E3" w14:textId="77777777" w:rsidR="00B964D2" w:rsidRDefault="00BE1CEF">
      <w:pPr>
        <w:spacing w:line="360" w:lineRule="auto"/>
        <w:ind w:right="26"/>
        <w:rPr>
          <w:rFonts w:ascii="彩虹粗仿宋" w:eastAsia="彩虹粗仿宋"/>
          <w:sz w:val="24"/>
        </w:rPr>
      </w:pPr>
      <w:r>
        <w:rPr>
          <w:rFonts w:ascii="彩虹粗仿宋" w:eastAsia="彩虹粗仿宋" w:hint="eastAsia"/>
          <w:sz w:val="24"/>
        </w:rPr>
        <w:lastRenderedPageBreak/>
        <w:t>本页无正文，为《国泰鼎利债券型证券投资基金托管协议》的签字盖章页。</w:t>
      </w:r>
    </w:p>
    <w:p w14:paraId="14EFA423" w14:textId="77777777" w:rsidR="00B964D2" w:rsidRDefault="00B964D2">
      <w:pPr>
        <w:spacing w:line="360" w:lineRule="auto"/>
        <w:rPr>
          <w:rFonts w:ascii="彩虹粗仿宋" w:eastAsia="彩虹粗仿宋"/>
          <w:sz w:val="24"/>
        </w:rPr>
      </w:pPr>
    </w:p>
    <w:p w14:paraId="48789121" w14:textId="77777777" w:rsidR="00B964D2" w:rsidRDefault="00B964D2">
      <w:pPr>
        <w:spacing w:line="360" w:lineRule="auto"/>
        <w:rPr>
          <w:rFonts w:ascii="彩虹粗仿宋" w:eastAsia="彩虹粗仿宋"/>
          <w:sz w:val="24"/>
        </w:rPr>
      </w:pPr>
    </w:p>
    <w:p w14:paraId="54648497" w14:textId="77777777" w:rsidR="00B964D2" w:rsidRDefault="00B964D2">
      <w:pPr>
        <w:spacing w:line="360" w:lineRule="auto"/>
        <w:rPr>
          <w:rFonts w:ascii="彩虹粗仿宋" w:eastAsia="彩虹粗仿宋"/>
          <w:sz w:val="24"/>
        </w:rPr>
      </w:pPr>
    </w:p>
    <w:p w14:paraId="2F3F7A62" w14:textId="77777777" w:rsidR="00B964D2" w:rsidRDefault="00BE1CEF">
      <w:pPr>
        <w:spacing w:line="360" w:lineRule="auto"/>
        <w:ind w:right="26"/>
        <w:rPr>
          <w:rFonts w:ascii="彩虹粗仿宋" w:eastAsia="彩虹粗仿宋"/>
          <w:sz w:val="24"/>
        </w:rPr>
      </w:pPr>
      <w:r>
        <w:rPr>
          <w:rFonts w:ascii="彩虹粗仿宋" w:eastAsia="彩虹粗仿宋" w:hint="eastAsia"/>
          <w:sz w:val="24"/>
        </w:rPr>
        <w:t>基金管理人：国泰基金管理有限公司（盖章）</w:t>
      </w:r>
    </w:p>
    <w:p w14:paraId="3146E02A" w14:textId="77777777" w:rsidR="00B964D2" w:rsidRDefault="00B964D2">
      <w:pPr>
        <w:spacing w:line="360" w:lineRule="auto"/>
        <w:ind w:right="26"/>
        <w:rPr>
          <w:rFonts w:ascii="彩虹粗仿宋" w:eastAsia="彩虹粗仿宋"/>
          <w:sz w:val="24"/>
        </w:rPr>
      </w:pPr>
    </w:p>
    <w:p w14:paraId="07126794" w14:textId="77777777" w:rsidR="00B964D2" w:rsidRDefault="00B964D2">
      <w:pPr>
        <w:spacing w:line="360" w:lineRule="auto"/>
        <w:ind w:right="26"/>
        <w:rPr>
          <w:rFonts w:ascii="彩虹粗仿宋" w:eastAsia="彩虹粗仿宋"/>
          <w:sz w:val="24"/>
        </w:rPr>
      </w:pPr>
    </w:p>
    <w:p w14:paraId="681C54B5" w14:textId="77777777" w:rsidR="00B964D2" w:rsidRDefault="00B964D2">
      <w:pPr>
        <w:spacing w:line="360" w:lineRule="auto"/>
        <w:ind w:right="26"/>
        <w:rPr>
          <w:rFonts w:ascii="彩虹粗仿宋" w:eastAsia="彩虹粗仿宋"/>
          <w:sz w:val="24"/>
        </w:rPr>
      </w:pPr>
    </w:p>
    <w:p w14:paraId="21EA8995" w14:textId="77777777" w:rsidR="00B964D2" w:rsidRDefault="00BE1CEF">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3DACED33" w14:textId="77777777" w:rsidR="00B964D2" w:rsidRDefault="00B964D2">
      <w:pPr>
        <w:spacing w:line="360" w:lineRule="auto"/>
        <w:ind w:right="26"/>
        <w:rPr>
          <w:rFonts w:ascii="彩虹粗仿宋" w:eastAsia="彩虹粗仿宋"/>
          <w:sz w:val="24"/>
        </w:rPr>
      </w:pPr>
    </w:p>
    <w:p w14:paraId="2E148FBA" w14:textId="77777777" w:rsidR="00B964D2" w:rsidRDefault="00B964D2">
      <w:pPr>
        <w:spacing w:line="360" w:lineRule="auto"/>
        <w:ind w:right="26"/>
        <w:rPr>
          <w:rFonts w:ascii="彩虹粗仿宋" w:eastAsia="彩虹粗仿宋"/>
          <w:sz w:val="24"/>
        </w:rPr>
      </w:pPr>
    </w:p>
    <w:p w14:paraId="65DA9002" w14:textId="77777777" w:rsidR="00B964D2" w:rsidRDefault="00BE1CEF">
      <w:pPr>
        <w:spacing w:line="360" w:lineRule="auto"/>
        <w:ind w:right="26"/>
        <w:rPr>
          <w:rFonts w:ascii="彩虹粗仿宋" w:eastAsia="彩虹粗仿宋"/>
          <w:b/>
          <w:sz w:val="24"/>
          <w:szCs w:val="28"/>
        </w:rPr>
      </w:pPr>
      <w:r>
        <w:rPr>
          <w:rFonts w:ascii="彩虹粗仿宋" w:eastAsia="彩虹粗仿宋" w:hint="eastAsia"/>
          <w:b/>
          <w:sz w:val="24"/>
          <w:szCs w:val="28"/>
        </w:rPr>
        <w:t>签订地点：</w:t>
      </w:r>
    </w:p>
    <w:p w14:paraId="0CD39AD6" w14:textId="77777777" w:rsidR="00B964D2" w:rsidRDefault="00BE1CEF">
      <w:pPr>
        <w:spacing w:line="360" w:lineRule="auto"/>
        <w:ind w:right="26"/>
        <w:rPr>
          <w:rFonts w:ascii="彩虹粗仿宋" w:eastAsia="彩虹粗仿宋"/>
          <w:b/>
          <w:sz w:val="24"/>
          <w:szCs w:val="28"/>
        </w:rPr>
      </w:pPr>
      <w:r>
        <w:rPr>
          <w:rFonts w:ascii="彩虹粗仿宋" w:eastAsia="彩虹粗仿宋" w:hint="eastAsia"/>
          <w:b/>
          <w:sz w:val="24"/>
          <w:szCs w:val="28"/>
        </w:rPr>
        <w:t xml:space="preserve">签 订 日： </w:t>
      </w:r>
      <w:r>
        <w:rPr>
          <w:rFonts w:ascii="彩虹粗仿宋" w:eastAsia="彩虹粗仿宋"/>
          <w:b/>
          <w:sz w:val="24"/>
          <w:szCs w:val="28"/>
        </w:rPr>
        <w:t xml:space="preserve">   </w:t>
      </w:r>
      <w:r>
        <w:rPr>
          <w:rFonts w:ascii="彩虹粗仿宋" w:eastAsia="彩虹粗仿宋" w:hint="eastAsia"/>
          <w:b/>
          <w:sz w:val="24"/>
          <w:szCs w:val="28"/>
        </w:rPr>
        <w:t xml:space="preserve">年 </w:t>
      </w:r>
      <w:r>
        <w:rPr>
          <w:rFonts w:ascii="彩虹粗仿宋" w:eastAsia="彩虹粗仿宋"/>
          <w:b/>
          <w:sz w:val="24"/>
          <w:szCs w:val="28"/>
        </w:rPr>
        <w:t xml:space="preserve"> </w:t>
      </w:r>
      <w:r>
        <w:rPr>
          <w:rFonts w:ascii="彩虹粗仿宋" w:eastAsia="彩虹粗仿宋" w:hint="eastAsia"/>
          <w:b/>
          <w:sz w:val="24"/>
          <w:szCs w:val="28"/>
        </w:rPr>
        <w:t xml:space="preserve">月 </w:t>
      </w:r>
      <w:r>
        <w:rPr>
          <w:rFonts w:ascii="彩虹粗仿宋" w:eastAsia="彩虹粗仿宋"/>
          <w:b/>
          <w:sz w:val="24"/>
          <w:szCs w:val="28"/>
        </w:rPr>
        <w:t xml:space="preserve"> </w:t>
      </w:r>
      <w:r>
        <w:rPr>
          <w:rFonts w:ascii="彩虹粗仿宋" w:eastAsia="彩虹粗仿宋" w:hint="eastAsia"/>
          <w:b/>
          <w:sz w:val="24"/>
          <w:szCs w:val="28"/>
        </w:rPr>
        <w:t>日</w:t>
      </w:r>
    </w:p>
    <w:p w14:paraId="2CE7ABC1" w14:textId="77777777" w:rsidR="00B964D2" w:rsidRDefault="00B964D2">
      <w:pPr>
        <w:spacing w:line="360" w:lineRule="auto"/>
        <w:ind w:right="26"/>
        <w:rPr>
          <w:rFonts w:ascii="彩虹粗仿宋" w:eastAsia="彩虹粗仿宋"/>
          <w:sz w:val="24"/>
        </w:rPr>
      </w:pPr>
    </w:p>
    <w:p w14:paraId="4EB4E4CD" w14:textId="77777777" w:rsidR="00B964D2" w:rsidRDefault="00B964D2">
      <w:pPr>
        <w:spacing w:line="360" w:lineRule="auto"/>
        <w:ind w:right="26"/>
        <w:rPr>
          <w:rFonts w:ascii="彩虹粗仿宋" w:eastAsia="彩虹粗仿宋"/>
          <w:sz w:val="24"/>
        </w:rPr>
      </w:pPr>
    </w:p>
    <w:p w14:paraId="0CBA7693" w14:textId="77777777" w:rsidR="00B964D2" w:rsidRDefault="00B964D2">
      <w:pPr>
        <w:spacing w:line="360" w:lineRule="auto"/>
        <w:ind w:right="26"/>
        <w:rPr>
          <w:rFonts w:ascii="彩虹粗仿宋" w:eastAsia="彩虹粗仿宋"/>
          <w:sz w:val="24"/>
        </w:rPr>
      </w:pPr>
    </w:p>
    <w:p w14:paraId="6863A0AB" w14:textId="77777777" w:rsidR="00B964D2" w:rsidRDefault="00B964D2">
      <w:pPr>
        <w:spacing w:line="360" w:lineRule="auto"/>
        <w:ind w:right="26"/>
        <w:rPr>
          <w:rFonts w:ascii="彩虹粗仿宋" w:eastAsia="彩虹粗仿宋"/>
          <w:sz w:val="24"/>
        </w:rPr>
      </w:pPr>
    </w:p>
    <w:p w14:paraId="5117B3F6" w14:textId="77777777" w:rsidR="00B964D2" w:rsidRDefault="00BE1CEF">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155FB72A" w14:textId="77777777" w:rsidR="00B964D2" w:rsidRDefault="00B964D2">
      <w:pPr>
        <w:spacing w:line="360" w:lineRule="auto"/>
        <w:ind w:right="26"/>
        <w:rPr>
          <w:rFonts w:ascii="彩虹粗仿宋" w:eastAsia="彩虹粗仿宋"/>
          <w:sz w:val="24"/>
        </w:rPr>
      </w:pPr>
    </w:p>
    <w:p w14:paraId="14029516" w14:textId="77777777" w:rsidR="00B964D2" w:rsidRDefault="00B964D2">
      <w:pPr>
        <w:spacing w:line="360" w:lineRule="auto"/>
        <w:ind w:right="26"/>
        <w:rPr>
          <w:rFonts w:ascii="彩虹粗仿宋" w:eastAsia="彩虹粗仿宋"/>
          <w:sz w:val="24"/>
        </w:rPr>
      </w:pPr>
    </w:p>
    <w:p w14:paraId="421E23C4" w14:textId="77777777" w:rsidR="00B964D2" w:rsidRDefault="00B964D2">
      <w:pPr>
        <w:spacing w:line="360" w:lineRule="auto"/>
        <w:ind w:right="26"/>
        <w:rPr>
          <w:rFonts w:ascii="彩虹粗仿宋" w:eastAsia="彩虹粗仿宋"/>
          <w:sz w:val="24"/>
        </w:rPr>
      </w:pPr>
    </w:p>
    <w:p w14:paraId="194EE794" w14:textId="77777777" w:rsidR="00B964D2" w:rsidRDefault="00BE1CEF">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0316D649" w14:textId="77777777" w:rsidR="00B964D2" w:rsidRDefault="00B964D2">
      <w:pPr>
        <w:spacing w:line="360" w:lineRule="auto"/>
        <w:ind w:right="26"/>
        <w:rPr>
          <w:rFonts w:ascii="彩虹粗仿宋" w:eastAsia="彩虹粗仿宋"/>
          <w:b/>
          <w:sz w:val="24"/>
          <w:szCs w:val="28"/>
        </w:rPr>
      </w:pPr>
    </w:p>
    <w:p w14:paraId="1E2766DE" w14:textId="77777777" w:rsidR="00B964D2" w:rsidRDefault="00B964D2">
      <w:pPr>
        <w:spacing w:line="360" w:lineRule="auto"/>
        <w:ind w:right="26"/>
        <w:rPr>
          <w:rFonts w:ascii="彩虹粗仿宋" w:eastAsia="彩虹粗仿宋"/>
          <w:b/>
          <w:sz w:val="24"/>
          <w:szCs w:val="28"/>
        </w:rPr>
      </w:pPr>
    </w:p>
    <w:p w14:paraId="68A21CE7" w14:textId="77777777" w:rsidR="00B964D2" w:rsidRDefault="00BE1CEF">
      <w:pPr>
        <w:spacing w:line="360" w:lineRule="auto"/>
        <w:ind w:right="26"/>
        <w:rPr>
          <w:rFonts w:ascii="彩虹粗仿宋" w:eastAsia="彩虹粗仿宋"/>
          <w:b/>
          <w:sz w:val="24"/>
          <w:szCs w:val="28"/>
        </w:rPr>
      </w:pPr>
      <w:r>
        <w:rPr>
          <w:rFonts w:ascii="彩虹粗仿宋" w:eastAsia="彩虹粗仿宋" w:hint="eastAsia"/>
          <w:b/>
          <w:sz w:val="24"/>
          <w:szCs w:val="28"/>
        </w:rPr>
        <w:t>签订地点：</w:t>
      </w:r>
    </w:p>
    <w:p w14:paraId="2E3BBAFC" w14:textId="77777777" w:rsidR="00B964D2" w:rsidRDefault="00BE1CEF">
      <w:pPr>
        <w:adjustRightInd w:val="0"/>
        <w:snapToGrid w:val="0"/>
        <w:spacing w:line="360" w:lineRule="auto"/>
      </w:pPr>
      <w:r>
        <w:rPr>
          <w:rFonts w:ascii="彩虹粗仿宋" w:eastAsia="彩虹粗仿宋" w:hint="eastAsia"/>
          <w:b/>
          <w:sz w:val="24"/>
          <w:szCs w:val="28"/>
        </w:rPr>
        <w:t xml:space="preserve">签 订 日： </w:t>
      </w:r>
      <w:r>
        <w:rPr>
          <w:rFonts w:ascii="彩虹粗仿宋" w:eastAsia="彩虹粗仿宋"/>
          <w:b/>
          <w:sz w:val="24"/>
          <w:szCs w:val="28"/>
        </w:rPr>
        <w:t xml:space="preserve">   </w:t>
      </w:r>
      <w:r>
        <w:rPr>
          <w:rFonts w:ascii="彩虹粗仿宋" w:eastAsia="彩虹粗仿宋" w:hint="eastAsia"/>
          <w:b/>
          <w:sz w:val="24"/>
          <w:szCs w:val="28"/>
        </w:rPr>
        <w:t xml:space="preserve">年 </w:t>
      </w:r>
      <w:r>
        <w:rPr>
          <w:rFonts w:ascii="彩虹粗仿宋" w:eastAsia="彩虹粗仿宋"/>
          <w:b/>
          <w:sz w:val="24"/>
          <w:szCs w:val="28"/>
        </w:rPr>
        <w:t xml:space="preserve"> </w:t>
      </w:r>
      <w:r>
        <w:rPr>
          <w:rFonts w:ascii="彩虹粗仿宋" w:eastAsia="彩虹粗仿宋" w:hint="eastAsia"/>
          <w:b/>
          <w:sz w:val="24"/>
          <w:szCs w:val="28"/>
        </w:rPr>
        <w:t xml:space="preserve">月 </w:t>
      </w:r>
      <w:r>
        <w:rPr>
          <w:rFonts w:ascii="彩虹粗仿宋" w:eastAsia="彩虹粗仿宋"/>
          <w:b/>
          <w:sz w:val="24"/>
          <w:szCs w:val="28"/>
        </w:rPr>
        <w:t xml:space="preserve"> </w:t>
      </w:r>
      <w:r>
        <w:rPr>
          <w:rFonts w:ascii="彩虹粗仿宋" w:eastAsia="彩虹粗仿宋" w:hint="eastAsia"/>
          <w:b/>
          <w:sz w:val="24"/>
          <w:szCs w:val="28"/>
        </w:rPr>
        <w:t>日</w:t>
      </w:r>
    </w:p>
    <w:sectPr w:rsidR="00B964D2">
      <w:headerReference w:type="default" r:id="rId10"/>
      <w:footerReference w:type="default" r:id="rId1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20E8A" w14:textId="77777777" w:rsidR="00407638" w:rsidRDefault="00407638">
      <w:r>
        <w:separator/>
      </w:r>
    </w:p>
  </w:endnote>
  <w:endnote w:type="continuationSeparator" w:id="0">
    <w:p w14:paraId="7D628972" w14:textId="77777777" w:rsidR="00407638" w:rsidRDefault="0040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微软雅黑"/>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330F" w14:textId="77777777" w:rsidR="00B964D2" w:rsidRDefault="00BE1CEF">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B90944D" w14:textId="77777777" w:rsidR="00B964D2" w:rsidRDefault="00B964D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5612" w14:textId="3E7593A0" w:rsidR="00B964D2" w:rsidRDefault="00BE1CEF">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C55C3">
      <w:rPr>
        <w:rStyle w:val="af"/>
        <w:noProof/>
      </w:rPr>
      <w:t>29</w:t>
    </w:r>
    <w:r>
      <w:rPr>
        <w:rStyle w:val="af"/>
      </w:rPr>
      <w:fldChar w:fldCharType="end"/>
    </w:r>
  </w:p>
  <w:p w14:paraId="6458E07B" w14:textId="77777777" w:rsidR="00B964D2" w:rsidRDefault="00B964D2">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BCBD" w14:textId="77777777" w:rsidR="00B964D2" w:rsidRDefault="00B964D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FE6AB" w14:textId="77777777" w:rsidR="00407638" w:rsidRDefault="00407638">
      <w:r>
        <w:separator/>
      </w:r>
    </w:p>
  </w:footnote>
  <w:footnote w:type="continuationSeparator" w:id="0">
    <w:p w14:paraId="7159E602" w14:textId="77777777" w:rsidR="00407638" w:rsidRDefault="004076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DA78" w14:textId="77777777" w:rsidR="00B964D2" w:rsidRDefault="00BE1CEF">
    <w:pPr>
      <w:pStyle w:val="aa"/>
      <w:jc w:val="right"/>
    </w:pP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15C8" w14:textId="77777777" w:rsidR="00B964D2" w:rsidRDefault="00BE1CEF">
    <w:pPr>
      <w:pStyle w:val="aa"/>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55"/>
    <w:rsid w:val="0000087C"/>
    <w:rsid w:val="0000264C"/>
    <w:rsid w:val="00007CA7"/>
    <w:rsid w:val="00014315"/>
    <w:rsid w:val="000161CB"/>
    <w:rsid w:val="000231C2"/>
    <w:rsid w:val="00025A58"/>
    <w:rsid w:val="00031B5C"/>
    <w:rsid w:val="0003538D"/>
    <w:rsid w:val="00035B53"/>
    <w:rsid w:val="00036B8D"/>
    <w:rsid w:val="00041A5D"/>
    <w:rsid w:val="0004573D"/>
    <w:rsid w:val="000462D7"/>
    <w:rsid w:val="00050606"/>
    <w:rsid w:val="00060AC8"/>
    <w:rsid w:val="000611D7"/>
    <w:rsid w:val="00062BCE"/>
    <w:rsid w:val="00066A52"/>
    <w:rsid w:val="000673C7"/>
    <w:rsid w:val="00071515"/>
    <w:rsid w:val="00072861"/>
    <w:rsid w:val="00073184"/>
    <w:rsid w:val="00075090"/>
    <w:rsid w:val="000778D3"/>
    <w:rsid w:val="000778DC"/>
    <w:rsid w:val="000837E7"/>
    <w:rsid w:val="00083C9C"/>
    <w:rsid w:val="000857B2"/>
    <w:rsid w:val="00085FE5"/>
    <w:rsid w:val="000869B9"/>
    <w:rsid w:val="0008762E"/>
    <w:rsid w:val="000905F9"/>
    <w:rsid w:val="000909E5"/>
    <w:rsid w:val="00093542"/>
    <w:rsid w:val="00094AFB"/>
    <w:rsid w:val="000A268E"/>
    <w:rsid w:val="000A48BF"/>
    <w:rsid w:val="000A4A30"/>
    <w:rsid w:val="000B4D78"/>
    <w:rsid w:val="000B5AD2"/>
    <w:rsid w:val="000D0E68"/>
    <w:rsid w:val="000D2A68"/>
    <w:rsid w:val="000D2C1B"/>
    <w:rsid w:val="000D305E"/>
    <w:rsid w:val="000D63A8"/>
    <w:rsid w:val="000D747E"/>
    <w:rsid w:val="000D7BB7"/>
    <w:rsid w:val="000E5003"/>
    <w:rsid w:val="000E65C5"/>
    <w:rsid w:val="000E6CFF"/>
    <w:rsid w:val="000F421E"/>
    <w:rsid w:val="00100F4E"/>
    <w:rsid w:val="00101423"/>
    <w:rsid w:val="001053F8"/>
    <w:rsid w:val="00107D29"/>
    <w:rsid w:val="00110453"/>
    <w:rsid w:val="0011349B"/>
    <w:rsid w:val="00113AE5"/>
    <w:rsid w:val="00113EF8"/>
    <w:rsid w:val="001171E0"/>
    <w:rsid w:val="001250C3"/>
    <w:rsid w:val="0013606B"/>
    <w:rsid w:val="00140726"/>
    <w:rsid w:val="00141CB5"/>
    <w:rsid w:val="001435B8"/>
    <w:rsid w:val="0014369E"/>
    <w:rsid w:val="00143EEF"/>
    <w:rsid w:val="0014444E"/>
    <w:rsid w:val="0014469D"/>
    <w:rsid w:val="00147F37"/>
    <w:rsid w:val="00147FDE"/>
    <w:rsid w:val="001536F0"/>
    <w:rsid w:val="00156700"/>
    <w:rsid w:val="00157C4F"/>
    <w:rsid w:val="00161282"/>
    <w:rsid w:val="00161FC1"/>
    <w:rsid w:val="001675FA"/>
    <w:rsid w:val="00167A3C"/>
    <w:rsid w:val="00167FD7"/>
    <w:rsid w:val="001801FB"/>
    <w:rsid w:val="00181E6C"/>
    <w:rsid w:val="00182BCB"/>
    <w:rsid w:val="00185A50"/>
    <w:rsid w:val="001869B2"/>
    <w:rsid w:val="001869E0"/>
    <w:rsid w:val="001915F4"/>
    <w:rsid w:val="00196362"/>
    <w:rsid w:val="00196397"/>
    <w:rsid w:val="00196736"/>
    <w:rsid w:val="001A06A8"/>
    <w:rsid w:val="001A2E4A"/>
    <w:rsid w:val="001A6591"/>
    <w:rsid w:val="001A6689"/>
    <w:rsid w:val="001B17C8"/>
    <w:rsid w:val="001B2442"/>
    <w:rsid w:val="001B42DA"/>
    <w:rsid w:val="001B6C50"/>
    <w:rsid w:val="001B76B9"/>
    <w:rsid w:val="001C3955"/>
    <w:rsid w:val="001D0065"/>
    <w:rsid w:val="001D0C14"/>
    <w:rsid w:val="001D513E"/>
    <w:rsid w:val="001D6737"/>
    <w:rsid w:val="001E0D88"/>
    <w:rsid w:val="001E20F8"/>
    <w:rsid w:val="001E320A"/>
    <w:rsid w:val="001E4B7A"/>
    <w:rsid w:val="001E5C1A"/>
    <w:rsid w:val="001F112B"/>
    <w:rsid w:val="001F47C9"/>
    <w:rsid w:val="00201FCA"/>
    <w:rsid w:val="002164FD"/>
    <w:rsid w:val="00220F70"/>
    <w:rsid w:val="00220FC5"/>
    <w:rsid w:val="00223A6C"/>
    <w:rsid w:val="00224E36"/>
    <w:rsid w:val="0022525C"/>
    <w:rsid w:val="00226EE6"/>
    <w:rsid w:val="00232363"/>
    <w:rsid w:val="00234CAF"/>
    <w:rsid w:val="0023546B"/>
    <w:rsid w:val="00236A7D"/>
    <w:rsid w:val="00236B43"/>
    <w:rsid w:val="00245466"/>
    <w:rsid w:val="00246515"/>
    <w:rsid w:val="0025052E"/>
    <w:rsid w:val="00250A67"/>
    <w:rsid w:val="0025231D"/>
    <w:rsid w:val="00253CDD"/>
    <w:rsid w:val="002630A4"/>
    <w:rsid w:val="002653F9"/>
    <w:rsid w:val="00265507"/>
    <w:rsid w:val="00266150"/>
    <w:rsid w:val="002715FD"/>
    <w:rsid w:val="00271E17"/>
    <w:rsid w:val="00271E8C"/>
    <w:rsid w:val="002769DF"/>
    <w:rsid w:val="00277AAC"/>
    <w:rsid w:val="00280457"/>
    <w:rsid w:val="00280FB3"/>
    <w:rsid w:val="00291F1B"/>
    <w:rsid w:val="00291F3F"/>
    <w:rsid w:val="0029526B"/>
    <w:rsid w:val="0029776A"/>
    <w:rsid w:val="002A0018"/>
    <w:rsid w:val="002A0691"/>
    <w:rsid w:val="002A1462"/>
    <w:rsid w:val="002A1681"/>
    <w:rsid w:val="002A2373"/>
    <w:rsid w:val="002A377B"/>
    <w:rsid w:val="002A51C5"/>
    <w:rsid w:val="002A5229"/>
    <w:rsid w:val="002B0BFB"/>
    <w:rsid w:val="002B263C"/>
    <w:rsid w:val="002B2B30"/>
    <w:rsid w:val="002C07BC"/>
    <w:rsid w:val="002C0AB4"/>
    <w:rsid w:val="002C110A"/>
    <w:rsid w:val="002C5D72"/>
    <w:rsid w:val="002D0673"/>
    <w:rsid w:val="002D3104"/>
    <w:rsid w:val="002D3520"/>
    <w:rsid w:val="002D459C"/>
    <w:rsid w:val="002D7C5A"/>
    <w:rsid w:val="002D7E8D"/>
    <w:rsid w:val="002E046E"/>
    <w:rsid w:val="002F1E0C"/>
    <w:rsid w:val="002F4136"/>
    <w:rsid w:val="002F511C"/>
    <w:rsid w:val="002F6689"/>
    <w:rsid w:val="002F69A7"/>
    <w:rsid w:val="002F7A9E"/>
    <w:rsid w:val="003000D6"/>
    <w:rsid w:val="0030221B"/>
    <w:rsid w:val="0030441C"/>
    <w:rsid w:val="00304AD3"/>
    <w:rsid w:val="00307F63"/>
    <w:rsid w:val="00313113"/>
    <w:rsid w:val="00317B59"/>
    <w:rsid w:val="00317EE7"/>
    <w:rsid w:val="00321425"/>
    <w:rsid w:val="00326434"/>
    <w:rsid w:val="00327DDE"/>
    <w:rsid w:val="0033183E"/>
    <w:rsid w:val="00332C95"/>
    <w:rsid w:val="003356D1"/>
    <w:rsid w:val="00344352"/>
    <w:rsid w:val="00345067"/>
    <w:rsid w:val="00345CB4"/>
    <w:rsid w:val="00351DFD"/>
    <w:rsid w:val="00351F2F"/>
    <w:rsid w:val="003530FE"/>
    <w:rsid w:val="00353DD4"/>
    <w:rsid w:val="003543F6"/>
    <w:rsid w:val="00354F5D"/>
    <w:rsid w:val="00355A00"/>
    <w:rsid w:val="00356561"/>
    <w:rsid w:val="00356AEF"/>
    <w:rsid w:val="00361BDC"/>
    <w:rsid w:val="00363C13"/>
    <w:rsid w:val="00371510"/>
    <w:rsid w:val="00371F29"/>
    <w:rsid w:val="0037253B"/>
    <w:rsid w:val="00372AE5"/>
    <w:rsid w:val="00373559"/>
    <w:rsid w:val="00374D8F"/>
    <w:rsid w:val="00382085"/>
    <w:rsid w:val="003835FF"/>
    <w:rsid w:val="00384796"/>
    <w:rsid w:val="00390843"/>
    <w:rsid w:val="003925DD"/>
    <w:rsid w:val="00394317"/>
    <w:rsid w:val="003A070F"/>
    <w:rsid w:val="003A0819"/>
    <w:rsid w:val="003A0B68"/>
    <w:rsid w:val="003A5416"/>
    <w:rsid w:val="003A725E"/>
    <w:rsid w:val="003B1B6A"/>
    <w:rsid w:val="003B27F2"/>
    <w:rsid w:val="003B3F5A"/>
    <w:rsid w:val="003B5C6A"/>
    <w:rsid w:val="003C1A0D"/>
    <w:rsid w:val="003C252F"/>
    <w:rsid w:val="003C77E0"/>
    <w:rsid w:val="003C78B1"/>
    <w:rsid w:val="003E01EA"/>
    <w:rsid w:val="003E04DB"/>
    <w:rsid w:val="003E41BF"/>
    <w:rsid w:val="003F1704"/>
    <w:rsid w:val="003F27D9"/>
    <w:rsid w:val="003F597F"/>
    <w:rsid w:val="003F79A0"/>
    <w:rsid w:val="003F79CB"/>
    <w:rsid w:val="004038F0"/>
    <w:rsid w:val="0040417A"/>
    <w:rsid w:val="00404B7A"/>
    <w:rsid w:val="00405FEB"/>
    <w:rsid w:val="004073EB"/>
    <w:rsid w:val="00407638"/>
    <w:rsid w:val="0041012F"/>
    <w:rsid w:val="00414152"/>
    <w:rsid w:val="004231AC"/>
    <w:rsid w:val="004266A9"/>
    <w:rsid w:val="00426813"/>
    <w:rsid w:val="00426EB8"/>
    <w:rsid w:val="004339A9"/>
    <w:rsid w:val="00434ACB"/>
    <w:rsid w:val="004357A5"/>
    <w:rsid w:val="0043581B"/>
    <w:rsid w:val="00435B28"/>
    <w:rsid w:val="00443812"/>
    <w:rsid w:val="00446F1B"/>
    <w:rsid w:val="004545D7"/>
    <w:rsid w:val="004568F0"/>
    <w:rsid w:val="004570B3"/>
    <w:rsid w:val="00460E97"/>
    <w:rsid w:val="00463974"/>
    <w:rsid w:val="00464BC5"/>
    <w:rsid w:val="00474832"/>
    <w:rsid w:val="0048038A"/>
    <w:rsid w:val="00480D69"/>
    <w:rsid w:val="0048414C"/>
    <w:rsid w:val="00490007"/>
    <w:rsid w:val="00493F47"/>
    <w:rsid w:val="00494442"/>
    <w:rsid w:val="00497816"/>
    <w:rsid w:val="004A0CEF"/>
    <w:rsid w:val="004A269A"/>
    <w:rsid w:val="004B0A9A"/>
    <w:rsid w:val="004B17D7"/>
    <w:rsid w:val="004B1E22"/>
    <w:rsid w:val="004B297D"/>
    <w:rsid w:val="004B3966"/>
    <w:rsid w:val="004B3F0B"/>
    <w:rsid w:val="004B6295"/>
    <w:rsid w:val="004C0ACC"/>
    <w:rsid w:val="004C12B5"/>
    <w:rsid w:val="004C17F6"/>
    <w:rsid w:val="004C2D4F"/>
    <w:rsid w:val="004C5BD9"/>
    <w:rsid w:val="004C7569"/>
    <w:rsid w:val="004D21F3"/>
    <w:rsid w:val="004E109F"/>
    <w:rsid w:val="004E6AA1"/>
    <w:rsid w:val="004E6F67"/>
    <w:rsid w:val="004F2D13"/>
    <w:rsid w:val="004F4890"/>
    <w:rsid w:val="004F7DCD"/>
    <w:rsid w:val="00502820"/>
    <w:rsid w:val="00503086"/>
    <w:rsid w:val="00504735"/>
    <w:rsid w:val="005113CE"/>
    <w:rsid w:val="00511C3E"/>
    <w:rsid w:val="005122B5"/>
    <w:rsid w:val="00513CC7"/>
    <w:rsid w:val="00517018"/>
    <w:rsid w:val="0051732E"/>
    <w:rsid w:val="005211C3"/>
    <w:rsid w:val="00524C3F"/>
    <w:rsid w:val="0053212A"/>
    <w:rsid w:val="00532885"/>
    <w:rsid w:val="00532B62"/>
    <w:rsid w:val="00533477"/>
    <w:rsid w:val="00534437"/>
    <w:rsid w:val="00536F8F"/>
    <w:rsid w:val="0053711F"/>
    <w:rsid w:val="00537161"/>
    <w:rsid w:val="005376E2"/>
    <w:rsid w:val="005418CE"/>
    <w:rsid w:val="005421DA"/>
    <w:rsid w:val="00544668"/>
    <w:rsid w:val="00552B70"/>
    <w:rsid w:val="005539CF"/>
    <w:rsid w:val="00553CDA"/>
    <w:rsid w:val="00556C50"/>
    <w:rsid w:val="00566A84"/>
    <w:rsid w:val="0056701F"/>
    <w:rsid w:val="00576702"/>
    <w:rsid w:val="0057712C"/>
    <w:rsid w:val="005775BD"/>
    <w:rsid w:val="00580427"/>
    <w:rsid w:val="00583BF7"/>
    <w:rsid w:val="00583DB4"/>
    <w:rsid w:val="00585EA6"/>
    <w:rsid w:val="00586006"/>
    <w:rsid w:val="00586598"/>
    <w:rsid w:val="00587195"/>
    <w:rsid w:val="00587776"/>
    <w:rsid w:val="00590022"/>
    <w:rsid w:val="00591A7A"/>
    <w:rsid w:val="00593695"/>
    <w:rsid w:val="005A6F1F"/>
    <w:rsid w:val="005B00CA"/>
    <w:rsid w:val="005B0F31"/>
    <w:rsid w:val="005B4A91"/>
    <w:rsid w:val="005B5FA7"/>
    <w:rsid w:val="005B6C21"/>
    <w:rsid w:val="005C0673"/>
    <w:rsid w:val="005C097C"/>
    <w:rsid w:val="005C33F6"/>
    <w:rsid w:val="005D0E5E"/>
    <w:rsid w:val="005D17E0"/>
    <w:rsid w:val="005D5578"/>
    <w:rsid w:val="005D711E"/>
    <w:rsid w:val="005D7785"/>
    <w:rsid w:val="005E0398"/>
    <w:rsid w:val="005E1155"/>
    <w:rsid w:val="005E24DB"/>
    <w:rsid w:val="005E5142"/>
    <w:rsid w:val="005E6D9D"/>
    <w:rsid w:val="005F3281"/>
    <w:rsid w:val="005F6C18"/>
    <w:rsid w:val="006005CE"/>
    <w:rsid w:val="00600BB6"/>
    <w:rsid w:val="006118E3"/>
    <w:rsid w:val="00612B6F"/>
    <w:rsid w:val="00615AAB"/>
    <w:rsid w:val="00620F3A"/>
    <w:rsid w:val="006222BE"/>
    <w:rsid w:val="00625849"/>
    <w:rsid w:val="006265D9"/>
    <w:rsid w:val="006318A6"/>
    <w:rsid w:val="006336EC"/>
    <w:rsid w:val="00633C0A"/>
    <w:rsid w:val="00633C49"/>
    <w:rsid w:val="00634877"/>
    <w:rsid w:val="00636E15"/>
    <w:rsid w:val="00637C49"/>
    <w:rsid w:val="006403A3"/>
    <w:rsid w:val="0064398B"/>
    <w:rsid w:val="00644445"/>
    <w:rsid w:val="006467D7"/>
    <w:rsid w:val="006474D4"/>
    <w:rsid w:val="00651291"/>
    <w:rsid w:val="00655481"/>
    <w:rsid w:val="00656D5F"/>
    <w:rsid w:val="00656F52"/>
    <w:rsid w:val="006610BF"/>
    <w:rsid w:val="00666DE7"/>
    <w:rsid w:val="00671725"/>
    <w:rsid w:val="0067365B"/>
    <w:rsid w:val="00673826"/>
    <w:rsid w:val="0067577C"/>
    <w:rsid w:val="00676841"/>
    <w:rsid w:val="00677B13"/>
    <w:rsid w:val="00685939"/>
    <w:rsid w:val="00690267"/>
    <w:rsid w:val="006972CF"/>
    <w:rsid w:val="006975BB"/>
    <w:rsid w:val="006A2FB9"/>
    <w:rsid w:val="006A3466"/>
    <w:rsid w:val="006A6B64"/>
    <w:rsid w:val="006B0B5E"/>
    <w:rsid w:val="006C0527"/>
    <w:rsid w:val="006C2C21"/>
    <w:rsid w:val="006C3D16"/>
    <w:rsid w:val="006C46F7"/>
    <w:rsid w:val="006C68E7"/>
    <w:rsid w:val="006C6E3F"/>
    <w:rsid w:val="006D3212"/>
    <w:rsid w:val="006D7C7D"/>
    <w:rsid w:val="006E37C6"/>
    <w:rsid w:val="006F00A9"/>
    <w:rsid w:val="006F292D"/>
    <w:rsid w:val="006F4B05"/>
    <w:rsid w:val="006F56F6"/>
    <w:rsid w:val="00700A1B"/>
    <w:rsid w:val="00701185"/>
    <w:rsid w:val="007036E2"/>
    <w:rsid w:val="00704759"/>
    <w:rsid w:val="00710E8F"/>
    <w:rsid w:val="0071475D"/>
    <w:rsid w:val="00714B62"/>
    <w:rsid w:val="0072013F"/>
    <w:rsid w:val="00720253"/>
    <w:rsid w:val="00723347"/>
    <w:rsid w:val="00725639"/>
    <w:rsid w:val="007268DA"/>
    <w:rsid w:val="00727CFF"/>
    <w:rsid w:val="0073078C"/>
    <w:rsid w:val="007308E2"/>
    <w:rsid w:val="00731C0F"/>
    <w:rsid w:val="00731EB4"/>
    <w:rsid w:val="0073781C"/>
    <w:rsid w:val="00744C76"/>
    <w:rsid w:val="0074604B"/>
    <w:rsid w:val="00750586"/>
    <w:rsid w:val="00753863"/>
    <w:rsid w:val="007551D9"/>
    <w:rsid w:val="0076287E"/>
    <w:rsid w:val="00762E65"/>
    <w:rsid w:val="0077355A"/>
    <w:rsid w:val="00774C5F"/>
    <w:rsid w:val="0077599C"/>
    <w:rsid w:val="00775BCB"/>
    <w:rsid w:val="00780C2A"/>
    <w:rsid w:val="007835A3"/>
    <w:rsid w:val="007842EF"/>
    <w:rsid w:val="00785E06"/>
    <w:rsid w:val="007872D3"/>
    <w:rsid w:val="007924AD"/>
    <w:rsid w:val="0079252B"/>
    <w:rsid w:val="007955B1"/>
    <w:rsid w:val="007A1FF1"/>
    <w:rsid w:val="007A6D7B"/>
    <w:rsid w:val="007A766E"/>
    <w:rsid w:val="007B2982"/>
    <w:rsid w:val="007B2FC1"/>
    <w:rsid w:val="007B5E28"/>
    <w:rsid w:val="007B710E"/>
    <w:rsid w:val="007C00F3"/>
    <w:rsid w:val="007C128C"/>
    <w:rsid w:val="007C2822"/>
    <w:rsid w:val="007C41FA"/>
    <w:rsid w:val="007C5274"/>
    <w:rsid w:val="007C54E0"/>
    <w:rsid w:val="007C5CE3"/>
    <w:rsid w:val="007D0176"/>
    <w:rsid w:val="007D0357"/>
    <w:rsid w:val="007D5A42"/>
    <w:rsid w:val="007D60F7"/>
    <w:rsid w:val="007D624A"/>
    <w:rsid w:val="007D6641"/>
    <w:rsid w:val="007D7F3F"/>
    <w:rsid w:val="007E0FEC"/>
    <w:rsid w:val="007E186C"/>
    <w:rsid w:val="007E2426"/>
    <w:rsid w:val="007E3744"/>
    <w:rsid w:val="007E59DF"/>
    <w:rsid w:val="007E7A07"/>
    <w:rsid w:val="007F2B51"/>
    <w:rsid w:val="007F5CEC"/>
    <w:rsid w:val="00800097"/>
    <w:rsid w:val="008032AB"/>
    <w:rsid w:val="00804A5A"/>
    <w:rsid w:val="00807C3A"/>
    <w:rsid w:val="00810D7A"/>
    <w:rsid w:val="008154E3"/>
    <w:rsid w:val="00821D9C"/>
    <w:rsid w:val="00822A84"/>
    <w:rsid w:val="008240DE"/>
    <w:rsid w:val="00831059"/>
    <w:rsid w:val="00833B6A"/>
    <w:rsid w:val="008477B4"/>
    <w:rsid w:val="008511DE"/>
    <w:rsid w:val="00851AAD"/>
    <w:rsid w:val="00853C12"/>
    <w:rsid w:val="00855647"/>
    <w:rsid w:val="00861B6B"/>
    <w:rsid w:val="00865211"/>
    <w:rsid w:val="00875139"/>
    <w:rsid w:val="008756BD"/>
    <w:rsid w:val="008817E4"/>
    <w:rsid w:val="00881ECB"/>
    <w:rsid w:val="00882D68"/>
    <w:rsid w:val="0088596F"/>
    <w:rsid w:val="00886D58"/>
    <w:rsid w:val="00886FFC"/>
    <w:rsid w:val="0089157B"/>
    <w:rsid w:val="0089347C"/>
    <w:rsid w:val="00893A64"/>
    <w:rsid w:val="008A0234"/>
    <w:rsid w:val="008A1D31"/>
    <w:rsid w:val="008A31BA"/>
    <w:rsid w:val="008A60CF"/>
    <w:rsid w:val="008A7327"/>
    <w:rsid w:val="008B7CCD"/>
    <w:rsid w:val="008C33D9"/>
    <w:rsid w:val="008C5154"/>
    <w:rsid w:val="008D048F"/>
    <w:rsid w:val="008D2DAE"/>
    <w:rsid w:val="008D2E41"/>
    <w:rsid w:val="008D5306"/>
    <w:rsid w:val="008D5B68"/>
    <w:rsid w:val="008D7379"/>
    <w:rsid w:val="008D7C3A"/>
    <w:rsid w:val="008E1C8E"/>
    <w:rsid w:val="008E39F8"/>
    <w:rsid w:val="008E4480"/>
    <w:rsid w:val="008E66A2"/>
    <w:rsid w:val="008E7DB2"/>
    <w:rsid w:val="008F275B"/>
    <w:rsid w:val="008F2EFD"/>
    <w:rsid w:val="008F3A79"/>
    <w:rsid w:val="008F5B7E"/>
    <w:rsid w:val="008F5E86"/>
    <w:rsid w:val="008F6870"/>
    <w:rsid w:val="008F7345"/>
    <w:rsid w:val="009007B7"/>
    <w:rsid w:val="0090091B"/>
    <w:rsid w:val="009012EE"/>
    <w:rsid w:val="009032E5"/>
    <w:rsid w:val="009039EE"/>
    <w:rsid w:val="00905712"/>
    <w:rsid w:val="0090673B"/>
    <w:rsid w:val="00912C48"/>
    <w:rsid w:val="00914806"/>
    <w:rsid w:val="00923610"/>
    <w:rsid w:val="00923F96"/>
    <w:rsid w:val="0092559E"/>
    <w:rsid w:val="00932140"/>
    <w:rsid w:val="0093214A"/>
    <w:rsid w:val="00932562"/>
    <w:rsid w:val="009341F4"/>
    <w:rsid w:val="00937F32"/>
    <w:rsid w:val="00941178"/>
    <w:rsid w:val="0094284D"/>
    <w:rsid w:val="0094637A"/>
    <w:rsid w:val="009542AD"/>
    <w:rsid w:val="00963BCF"/>
    <w:rsid w:val="00966798"/>
    <w:rsid w:val="009706FC"/>
    <w:rsid w:val="00974ABE"/>
    <w:rsid w:val="009778BD"/>
    <w:rsid w:val="00982DBC"/>
    <w:rsid w:val="00984563"/>
    <w:rsid w:val="00985196"/>
    <w:rsid w:val="00987633"/>
    <w:rsid w:val="00990BF1"/>
    <w:rsid w:val="00991268"/>
    <w:rsid w:val="009921D0"/>
    <w:rsid w:val="00992D74"/>
    <w:rsid w:val="009950D6"/>
    <w:rsid w:val="009A187F"/>
    <w:rsid w:val="009A36E3"/>
    <w:rsid w:val="009A397F"/>
    <w:rsid w:val="009B0CB6"/>
    <w:rsid w:val="009B1183"/>
    <w:rsid w:val="009B2FEE"/>
    <w:rsid w:val="009C20E9"/>
    <w:rsid w:val="009C5E2D"/>
    <w:rsid w:val="009D0628"/>
    <w:rsid w:val="009D1040"/>
    <w:rsid w:val="009D27D6"/>
    <w:rsid w:val="009D54D5"/>
    <w:rsid w:val="009D7A0E"/>
    <w:rsid w:val="009E1B09"/>
    <w:rsid w:val="009E56F6"/>
    <w:rsid w:val="009F033A"/>
    <w:rsid w:val="009F42DF"/>
    <w:rsid w:val="00A003D4"/>
    <w:rsid w:val="00A02903"/>
    <w:rsid w:val="00A02B11"/>
    <w:rsid w:val="00A043BD"/>
    <w:rsid w:val="00A05FC0"/>
    <w:rsid w:val="00A1793B"/>
    <w:rsid w:val="00A22D90"/>
    <w:rsid w:val="00A236FF"/>
    <w:rsid w:val="00A2382B"/>
    <w:rsid w:val="00A24AFE"/>
    <w:rsid w:val="00A262CE"/>
    <w:rsid w:val="00A33789"/>
    <w:rsid w:val="00A35250"/>
    <w:rsid w:val="00A377EC"/>
    <w:rsid w:val="00A42E1B"/>
    <w:rsid w:val="00A43D60"/>
    <w:rsid w:val="00A47B31"/>
    <w:rsid w:val="00A50F16"/>
    <w:rsid w:val="00A53C4A"/>
    <w:rsid w:val="00A54972"/>
    <w:rsid w:val="00A5510D"/>
    <w:rsid w:val="00A57F0E"/>
    <w:rsid w:val="00A625BA"/>
    <w:rsid w:val="00A6459D"/>
    <w:rsid w:val="00A67365"/>
    <w:rsid w:val="00A71889"/>
    <w:rsid w:val="00A82247"/>
    <w:rsid w:val="00A83735"/>
    <w:rsid w:val="00A86709"/>
    <w:rsid w:val="00A87EF2"/>
    <w:rsid w:val="00A96F74"/>
    <w:rsid w:val="00A97F7B"/>
    <w:rsid w:val="00AA053C"/>
    <w:rsid w:val="00AA28C0"/>
    <w:rsid w:val="00AA4D53"/>
    <w:rsid w:val="00AB392E"/>
    <w:rsid w:val="00AB4F95"/>
    <w:rsid w:val="00AB5F3B"/>
    <w:rsid w:val="00AB6924"/>
    <w:rsid w:val="00AC0EB4"/>
    <w:rsid w:val="00AC141A"/>
    <w:rsid w:val="00AC35FC"/>
    <w:rsid w:val="00AC75F9"/>
    <w:rsid w:val="00AD1694"/>
    <w:rsid w:val="00AD2C73"/>
    <w:rsid w:val="00AE041C"/>
    <w:rsid w:val="00AE2AB9"/>
    <w:rsid w:val="00AE4520"/>
    <w:rsid w:val="00AE520C"/>
    <w:rsid w:val="00AE6DDD"/>
    <w:rsid w:val="00AF01FE"/>
    <w:rsid w:val="00AF1B51"/>
    <w:rsid w:val="00AF284D"/>
    <w:rsid w:val="00AF3BDC"/>
    <w:rsid w:val="00B000E0"/>
    <w:rsid w:val="00B00F30"/>
    <w:rsid w:val="00B03D23"/>
    <w:rsid w:val="00B04031"/>
    <w:rsid w:val="00B04A5C"/>
    <w:rsid w:val="00B04CA0"/>
    <w:rsid w:val="00B054EF"/>
    <w:rsid w:val="00B10390"/>
    <w:rsid w:val="00B103D3"/>
    <w:rsid w:val="00B1150F"/>
    <w:rsid w:val="00B146F9"/>
    <w:rsid w:val="00B1672A"/>
    <w:rsid w:val="00B16FA9"/>
    <w:rsid w:val="00B17489"/>
    <w:rsid w:val="00B24EA8"/>
    <w:rsid w:val="00B26205"/>
    <w:rsid w:val="00B3197D"/>
    <w:rsid w:val="00B31BB7"/>
    <w:rsid w:val="00B35192"/>
    <w:rsid w:val="00B3724D"/>
    <w:rsid w:val="00B37DE6"/>
    <w:rsid w:val="00B438FD"/>
    <w:rsid w:val="00B44E55"/>
    <w:rsid w:val="00B46BDD"/>
    <w:rsid w:val="00B47D3C"/>
    <w:rsid w:val="00B5026F"/>
    <w:rsid w:val="00B50FDD"/>
    <w:rsid w:val="00B554A8"/>
    <w:rsid w:val="00B55766"/>
    <w:rsid w:val="00B5750C"/>
    <w:rsid w:val="00B602D4"/>
    <w:rsid w:val="00B613CF"/>
    <w:rsid w:val="00B631CE"/>
    <w:rsid w:val="00B64A94"/>
    <w:rsid w:val="00B67047"/>
    <w:rsid w:val="00B7249B"/>
    <w:rsid w:val="00B7343C"/>
    <w:rsid w:val="00B73D95"/>
    <w:rsid w:val="00B754DF"/>
    <w:rsid w:val="00B766C5"/>
    <w:rsid w:val="00B76854"/>
    <w:rsid w:val="00B76B91"/>
    <w:rsid w:val="00B80BB8"/>
    <w:rsid w:val="00B80DAC"/>
    <w:rsid w:val="00B82190"/>
    <w:rsid w:val="00B82637"/>
    <w:rsid w:val="00B83AC4"/>
    <w:rsid w:val="00B84CB6"/>
    <w:rsid w:val="00B91137"/>
    <w:rsid w:val="00B916C2"/>
    <w:rsid w:val="00B941DA"/>
    <w:rsid w:val="00B964D2"/>
    <w:rsid w:val="00BA08D9"/>
    <w:rsid w:val="00BA09E9"/>
    <w:rsid w:val="00BA5D2C"/>
    <w:rsid w:val="00BB5258"/>
    <w:rsid w:val="00BC1F59"/>
    <w:rsid w:val="00BC2C34"/>
    <w:rsid w:val="00BC4200"/>
    <w:rsid w:val="00BD2F2E"/>
    <w:rsid w:val="00BD5D83"/>
    <w:rsid w:val="00BD687E"/>
    <w:rsid w:val="00BE1030"/>
    <w:rsid w:val="00BE1CEF"/>
    <w:rsid w:val="00BE71EB"/>
    <w:rsid w:val="00BF36B1"/>
    <w:rsid w:val="00BF53CA"/>
    <w:rsid w:val="00BF73AB"/>
    <w:rsid w:val="00C021F1"/>
    <w:rsid w:val="00C02FAE"/>
    <w:rsid w:val="00C0465E"/>
    <w:rsid w:val="00C07522"/>
    <w:rsid w:val="00C10D0D"/>
    <w:rsid w:val="00C10EAD"/>
    <w:rsid w:val="00C11205"/>
    <w:rsid w:val="00C11400"/>
    <w:rsid w:val="00C13BC9"/>
    <w:rsid w:val="00C17BBA"/>
    <w:rsid w:val="00C206E1"/>
    <w:rsid w:val="00C22563"/>
    <w:rsid w:val="00C227E9"/>
    <w:rsid w:val="00C25182"/>
    <w:rsid w:val="00C262E9"/>
    <w:rsid w:val="00C33888"/>
    <w:rsid w:val="00C37673"/>
    <w:rsid w:val="00C40781"/>
    <w:rsid w:val="00C41E1F"/>
    <w:rsid w:val="00C42E2C"/>
    <w:rsid w:val="00C53E05"/>
    <w:rsid w:val="00C60F5A"/>
    <w:rsid w:val="00C613EA"/>
    <w:rsid w:val="00C61D9B"/>
    <w:rsid w:val="00C627A0"/>
    <w:rsid w:val="00C62D33"/>
    <w:rsid w:val="00C6557E"/>
    <w:rsid w:val="00C6649D"/>
    <w:rsid w:val="00C670F7"/>
    <w:rsid w:val="00C70D66"/>
    <w:rsid w:val="00C73343"/>
    <w:rsid w:val="00C7513E"/>
    <w:rsid w:val="00C751D4"/>
    <w:rsid w:val="00C753FE"/>
    <w:rsid w:val="00C8288E"/>
    <w:rsid w:val="00C83272"/>
    <w:rsid w:val="00C8358D"/>
    <w:rsid w:val="00C92E7F"/>
    <w:rsid w:val="00C952FE"/>
    <w:rsid w:val="00C970E0"/>
    <w:rsid w:val="00CA197E"/>
    <w:rsid w:val="00CA3383"/>
    <w:rsid w:val="00CA3CB2"/>
    <w:rsid w:val="00CA4015"/>
    <w:rsid w:val="00CA636A"/>
    <w:rsid w:val="00CA6791"/>
    <w:rsid w:val="00CA7234"/>
    <w:rsid w:val="00CB066A"/>
    <w:rsid w:val="00CB3864"/>
    <w:rsid w:val="00CB4B1A"/>
    <w:rsid w:val="00CB5549"/>
    <w:rsid w:val="00CB67A1"/>
    <w:rsid w:val="00CC099D"/>
    <w:rsid w:val="00CC226D"/>
    <w:rsid w:val="00CC5241"/>
    <w:rsid w:val="00CC5B56"/>
    <w:rsid w:val="00CC64F9"/>
    <w:rsid w:val="00CC6DF9"/>
    <w:rsid w:val="00CD10D4"/>
    <w:rsid w:val="00CD19E9"/>
    <w:rsid w:val="00CD2BC1"/>
    <w:rsid w:val="00CD47C1"/>
    <w:rsid w:val="00CE2D38"/>
    <w:rsid w:val="00CE3838"/>
    <w:rsid w:val="00CE3DCF"/>
    <w:rsid w:val="00CE467A"/>
    <w:rsid w:val="00CE4AEB"/>
    <w:rsid w:val="00CE71D2"/>
    <w:rsid w:val="00CE75F2"/>
    <w:rsid w:val="00CF0903"/>
    <w:rsid w:val="00CF2B78"/>
    <w:rsid w:val="00CF2FE5"/>
    <w:rsid w:val="00CF49BC"/>
    <w:rsid w:val="00CF5358"/>
    <w:rsid w:val="00CF628F"/>
    <w:rsid w:val="00CF675A"/>
    <w:rsid w:val="00CF6E4C"/>
    <w:rsid w:val="00D00D84"/>
    <w:rsid w:val="00D0178B"/>
    <w:rsid w:val="00D04220"/>
    <w:rsid w:val="00D045F3"/>
    <w:rsid w:val="00D06AAC"/>
    <w:rsid w:val="00D07BFA"/>
    <w:rsid w:val="00D07C6E"/>
    <w:rsid w:val="00D1133B"/>
    <w:rsid w:val="00D15A8F"/>
    <w:rsid w:val="00D179F1"/>
    <w:rsid w:val="00D20AE5"/>
    <w:rsid w:val="00D22E97"/>
    <w:rsid w:val="00D23651"/>
    <w:rsid w:val="00D247A7"/>
    <w:rsid w:val="00D2763F"/>
    <w:rsid w:val="00D31937"/>
    <w:rsid w:val="00D33150"/>
    <w:rsid w:val="00D34B37"/>
    <w:rsid w:val="00D35BD2"/>
    <w:rsid w:val="00D37B9A"/>
    <w:rsid w:val="00D54733"/>
    <w:rsid w:val="00D554C5"/>
    <w:rsid w:val="00D56B94"/>
    <w:rsid w:val="00D61CD2"/>
    <w:rsid w:val="00D634E3"/>
    <w:rsid w:val="00D666D1"/>
    <w:rsid w:val="00D718CC"/>
    <w:rsid w:val="00D7348F"/>
    <w:rsid w:val="00D749FF"/>
    <w:rsid w:val="00D801DD"/>
    <w:rsid w:val="00D81AC6"/>
    <w:rsid w:val="00D86290"/>
    <w:rsid w:val="00D872F2"/>
    <w:rsid w:val="00D9072E"/>
    <w:rsid w:val="00D919FD"/>
    <w:rsid w:val="00D92176"/>
    <w:rsid w:val="00D92242"/>
    <w:rsid w:val="00D92594"/>
    <w:rsid w:val="00D9285B"/>
    <w:rsid w:val="00D94D14"/>
    <w:rsid w:val="00D95689"/>
    <w:rsid w:val="00D972D2"/>
    <w:rsid w:val="00DA2A13"/>
    <w:rsid w:val="00DA480B"/>
    <w:rsid w:val="00DA72A4"/>
    <w:rsid w:val="00DB3B8F"/>
    <w:rsid w:val="00DB4C83"/>
    <w:rsid w:val="00DC383F"/>
    <w:rsid w:val="00DC4E2D"/>
    <w:rsid w:val="00DC506A"/>
    <w:rsid w:val="00DC5302"/>
    <w:rsid w:val="00DC55C3"/>
    <w:rsid w:val="00DC6AE8"/>
    <w:rsid w:val="00DD52DD"/>
    <w:rsid w:val="00DE0916"/>
    <w:rsid w:val="00DE3B3D"/>
    <w:rsid w:val="00DE57B8"/>
    <w:rsid w:val="00DE6547"/>
    <w:rsid w:val="00DE6A67"/>
    <w:rsid w:val="00DE6D94"/>
    <w:rsid w:val="00DE7C13"/>
    <w:rsid w:val="00DF09EA"/>
    <w:rsid w:val="00DF1A70"/>
    <w:rsid w:val="00DF34E6"/>
    <w:rsid w:val="00DF5B5D"/>
    <w:rsid w:val="00DF7ADB"/>
    <w:rsid w:val="00E013A8"/>
    <w:rsid w:val="00E0155D"/>
    <w:rsid w:val="00E01894"/>
    <w:rsid w:val="00E0400A"/>
    <w:rsid w:val="00E16466"/>
    <w:rsid w:val="00E215BA"/>
    <w:rsid w:val="00E221FC"/>
    <w:rsid w:val="00E3095B"/>
    <w:rsid w:val="00E35AC0"/>
    <w:rsid w:val="00E35AC1"/>
    <w:rsid w:val="00E36EF7"/>
    <w:rsid w:val="00E37669"/>
    <w:rsid w:val="00E37778"/>
    <w:rsid w:val="00E4189F"/>
    <w:rsid w:val="00E4254A"/>
    <w:rsid w:val="00E42ED6"/>
    <w:rsid w:val="00E45CDD"/>
    <w:rsid w:val="00E504FD"/>
    <w:rsid w:val="00E51541"/>
    <w:rsid w:val="00E5210A"/>
    <w:rsid w:val="00E55097"/>
    <w:rsid w:val="00E61C69"/>
    <w:rsid w:val="00E63E95"/>
    <w:rsid w:val="00E678CD"/>
    <w:rsid w:val="00E71B46"/>
    <w:rsid w:val="00E7379A"/>
    <w:rsid w:val="00E73BDE"/>
    <w:rsid w:val="00E74A39"/>
    <w:rsid w:val="00E76C52"/>
    <w:rsid w:val="00E84AED"/>
    <w:rsid w:val="00E9094C"/>
    <w:rsid w:val="00E9130F"/>
    <w:rsid w:val="00E913ED"/>
    <w:rsid w:val="00E92953"/>
    <w:rsid w:val="00E9295C"/>
    <w:rsid w:val="00E92A26"/>
    <w:rsid w:val="00EA12E9"/>
    <w:rsid w:val="00EA6EDA"/>
    <w:rsid w:val="00EB23E2"/>
    <w:rsid w:val="00EB269D"/>
    <w:rsid w:val="00EB44BD"/>
    <w:rsid w:val="00EB6B43"/>
    <w:rsid w:val="00EB76AD"/>
    <w:rsid w:val="00EC42C5"/>
    <w:rsid w:val="00EC4743"/>
    <w:rsid w:val="00EC6697"/>
    <w:rsid w:val="00EC7106"/>
    <w:rsid w:val="00ED051A"/>
    <w:rsid w:val="00ED2778"/>
    <w:rsid w:val="00ED5660"/>
    <w:rsid w:val="00EE1BD3"/>
    <w:rsid w:val="00EE419A"/>
    <w:rsid w:val="00EE4869"/>
    <w:rsid w:val="00EE6506"/>
    <w:rsid w:val="00EE68B8"/>
    <w:rsid w:val="00EF0816"/>
    <w:rsid w:val="00EF1DC7"/>
    <w:rsid w:val="00EF2C08"/>
    <w:rsid w:val="00EF34CF"/>
    <w:rsid w:val="00EF34EA"/>
    <w:rsid w:val="00EF52D9"/>
    <w:rsid w:val="00F031E8"/>
    <w:rsid w:val="00F03F55"/>
    <w:rsid w:val="00F04757"/>
    <w:rsid w:val="00F0530B"/>
    <w:rsid w:val="00F05C6A"/>
    <w:rsid w:val="00F118B7"/>
    <w:rsid w:val="00F12376"/>
    <w:rsid w:val="00F12518"/>
    <w:rsid w:val="00F212AE"/>
    <w:rsid w:val="00F2244C"/>
    <w:rsid w:val="00F2250B"/>
    <w:rsid w:val="00F23DCF"/>
    <w:rsid w:val="00F2482C"/>
    <w:rsid w:val="00F24862"/>
    <w:rsid w:val="00F30826"/>
    <w:rsid w:val="00F338FC"/>
    <w:rsid w:val="00F343DB"/>
    <w:rsid w:val="00F34CE5"/>
    <w:rsid w:val="00F34D5C"/>
    <w:rsid w:val="00F3657D"/>
    <w:rsid w:val="00F36B71"/>
    <w:rsid w:val="00F37EF2"/>
    <w:rsid w:val="00F43122"/>
    <w:rsid w:val="00F52719"/>
    <w:rsid w:val="00F532F9"/>
    <w:rsid w:val="00F53993"/>
    <w:rsid w:val="00F53AAD"/>
    <w:rsid w:val="00F5507C"/>
    <w:rsid w:val="00F60936"/>
    <w:rsid w:val="00F61DAB"/>
    <w:rsid w:val="00F6226B"/>
    <w:rsid w:val="00F641E2"/>
    <w:rsid w:val="00F67948"/>
    <w:rsid w:val="00F709E7"/>
    <w:rsid w:val="00F714EC"/>
    <w:rsid w:val="00F738C9"/>
    <w:rsid w:val="00F76CCF"/>
    <w:rsid w:val="00F802C4"/>
    <w:rsid w:val="00F81793"/>
    <w:rsid w:val="00F848DC"/>
    <w:rsid w:val="00F9047B"/>
    <w:rsid w:val="00F9067A"/>
    <w:rsid w:val="00F9439A"/>
    <w:rsid w:val="00F952DF"/>
    <w:rsid w:val="00FA136C"/>
    <w:rsid w:val="00FA1AB3"/>
    <w:rsid w:val="00FA3EB6"/>
    <w:rsid w:val="00FA49F2"/>
    <w:rsid w:val="00FA56A8"/>
    <w:rsid w:val="00FA603B"/>
    <w:rsid w:val="00FB1551"/>
    <w:rsid w:val="00FB202F"/>
    <w:rsid w:val="00FB27C7"/>
    <w:rsid w:val="00FB3117"/>
    <w:rsid w:val="00FB4101"/>
    <w:rsid w:val="00FC66FD"/>
    <w:rsid w:val="00FC7A85"/>
    <w:rsid w:val="00FC7FED"/>
    <w:rsid w:val="00FD07A0"/>
    <w:rsid w:val="00FD1788"/>
    <w:rsid w:val="00FD3A32"/>
    <w:rsid w:val="00FD41CD"/>
    <w:rsid w:val="00FD439C"/>
    <w:rsid w:val="00FD6EEE"/>
    <w:rsid w:val="00FD7F42"/>
    <w:rsid w:val="00FE338B"/>
    <w:rsid w:val="00FE362D"/>
    <w:rsid w:val="00FE4F44"/>
    <w:rsid w:val="00FF0B50"/>
    <w:rsid w:val="00FF12E9"/>
    <w:rsid w:val="00FF4916"/>
    <w:rsid w:val="00FF4D7E"/>
    <w:rsid w:val="00FF5EAC"/>
    <w:rsid w:val="00FF7112"/>
    <w:rsid w:val="08F3799C"/>
    <w:rsid w:val="0E2E5C6D"/>
    <w:rsid w:val="18392B81"/>
    <w:rsid w:val="1A6D342A"/>
    <w:rsid w:val="2DA57495"/>
    <w:rsid w:val="2DAB4BFF"/>
    <w:rsid w:val="2F312F81"/>
    <w:rsid w:val="38DA53F1"/>
    <w:rsid w:val="3B4E32AF"/>
    <w:rsid w:val="70E57AC4"/>
    <w:rsid w:val="7EB3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4984F"/>
  <w15:docId w15:val="{A8B3E6B5-51E1-4846-9199-99B9D7E0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autoRedefine/>
    <w:semiHidden/>
    <w:qFormat/>
    <w:pPr>
      <w:ind w:leftChars="1200" w:left="2520"/>
    </w:pPr>
  </w:style>
  <w:style w:type="paragraph" w:styleId="a4">
    <w:name w:val="annotation text"/>
    <w:basedOn w:val="a"/>
    <w:link w:val="1"/>
    <w:qFormat/>
    <w:pPr>
      <w:jc w:val="left"/>
    </w:pPr>
  </w:style>
  <w:style w:type="paragraph" w:styleId="a5">
    <w:name w:val="Body Text"/>
    <w:basedOn w:val="a"/>
    <w:link w:val="10"/>
    <w:qFormat/>
    <w:pPr>
      <w:spacing w:line="360" w:lineRule="auto"/>
    </w:pPr>
    <w:rPr>
      <w:rFonts w:ascii="仿宋_GB2312" w:eastAsia="仿宋_GB2312"/>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autoRedefine/>
    <w:semiHidden/>
    <w:qFormat/>
    <w:pPr>
      <w:ind w:leftChars="800" w:left="1680"/>
    </w:pPr>
  </w:style>
  <w:style w:type="paragraph" w:styleId="3">
    <w:name w:val="toc 3"/>
    <w:basedOn w:val="a"/>
    <w:next w:val="a"/>
    <w:autoRedefine/>
    <w:semiHidden/>
    <w:qFormat/>
    <w:pPr>
      <w:ind w:leftChars="400" w:left="840"/>
    </w:pPr>
  </w:style>
  <w:style w:type="paragraph" w:styleId="8">
    <w:name w:val="toc 8"/>
    <w:basedOn w:val="a"/>
    <w:next w:val="a"/>
    <w:autoRedefine/>
    <w:semiHidden/>
    <w:qFormat/>
    <w:pPr>
      <w:ind w:leftChars="1400" w:left="2940"/>
    </w:pPr>
  </w:style>
  <w:style w:type="paragraph" w:styleId="20">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2"/>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autoRedefine/>
    <w:semiHidden/>
    <w:qFormat/>
  </w:style>
  <w:style w:type="paragraph" w:styleId="4">
    <w:name w:val="toc 4"/>
    <w:basedOn w:val="a"/>
    <w:next w:val="a"/>
    <w:autoRedefine/>
    <w:semiHidden/>
    <w:qFormat/>
    <w:pPr>
      <w:ind w:leftChars="600" w:left="1260"/>
    </w:pPr>
  </w:style>
  <w:style w:type="paragraph" w:styleId="6">
    <w:name w:val="toc 6"/>
    <w:basedOn w:val="a"/>
    <w:next w:val="a"/>
    <w:autoRedefine/>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2">
    <w:name w:val="toc 2"/>
    <w:basedOn w:val="a"/>
    <w:next w:val="a"/>
    <w:autoRedefine/>
    <w:semiHidden/>
    <w:qFormat/>
    <w:pPr>
      <w:ind w:leftChars="200" w:left="420"/>
    </w:pPr>
  </w:style>
  <w:style w:type="paragraph" w:styleId="9">
    <w:name w:val="toc 9"/>
    <w:basedOn w:val="a"/>
    <w:next w:val="a"/>
    <w:autoRedefine/>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4"/>
    <w:qFormat/>
    <w:rPr>
      <w:b/>
      <w:bCs/>
    </w:rPr>
  </w:style>
  <w:style w:type="character" w:styleId="ae">
    <w:name w:val="Strong"/>
    <w:qFormat/>
    <w:rPr>
      <w:b/>
      <w:bCs/>
    </w:rPr>
  </w:style>
  <w:style w:type="character" w:styleId="af">
    <w:name w:val="page number"/>
    <w:basedOn w:val="a1"/>
    <w:qFormat/>
  </w:style>
  <w:style w:type="character" w:styleId="af0">
    <w:name w:val="FollowedHyperlink"/>
    <w:basedOn w:val="a1"/>
    <w:uiPriority w:val="99"/>
    <w:semiHidden/>
    <w:unhideWhenUsed/>
    <w:qFormat/>
    <w:rPr>
      <w:color w:val="954F72" w:themeColor="followedHyperlink"/>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23">
    <w:name w:val="标题 2 字符"/>
    <w:basedOn w:val="a1"/>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af3">
    <w:name w:val="正文文本 字符"/>
    <w:basedOn w:val="a1"/>
    <w:uiPriority w:val="99"/>
    <w:semiHidden/>
    <w:qFormat/>
    <w:rPr>
      <w:rFonts w:ascii="Times New Roman" w:eastAsia="宋体" w:hAnsi="Times New Roman" w:cs="Times New Roman"/>
      <w:szCs w:val="24"/>
    </w:rPr>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f4">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4">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2">
    <w:name w:val="正文文本缩进 3 字符"/>
    <w:basedOn w:val="a1"/>
    <w:uiPriority w:val="99"/>
    <w:semiHidden/>
    <w:qFormat/>
    <w:rPr>
      <w:rFonts w:ascii="Times New Roman" w:eastAsia="宋体" w:hAnsi="Times New Roman" w:cs="Times New Roman"/>
      <w:sz w:val="16"/>
      <w:szCs w:val="16"/>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f5">
    <w:name w:val="批注框文本 字符"/>
    <w:basedOn w:val="a1"/>
    <w:uiPriority w:val="99"/>
    <w:semiHidden/>
    <w:qFormat/>
    <w:rPr>
      <w:rFonts w:ascii="Times New Roman" w:eastAsia="宋体" w:hAnsi="Times New Roman" w:cs="Times New Roman"/>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autoRedefine/>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basedOn w:val="a1"/>
    <w:qFormat/>
    <w:rPr>
      <w:rFonts w:ascii="Times New Roman" w:eastAsia="宋体" w:hAnsi="Times New Roman" w:cs="Times New Roman"/>
      <w:szCs w:val="24"/>
    </w:rPr>
  </w:style>
  <w:style w:type="character" w:customStyle="1" w:styleId="1">
    <w:name w:val="批注文字 字符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basedOn w:val="af6"/>
    <w:uiPriority w:val="99"/>
    <w:semiHidden/>
    <w:qFormat/>
    <w:rPr>
      <w:rFonts w:ascii="Times New Roman" w:eastAsia="宋体" w:hAnsi="Times New Roman" w:cs="Times New Roman"/>
      <w:b/>
      <w:bCs/>
      <w:szCs w:val="24"/>
    </w:rPr>
  </w:style>
  <w:style w:type="character" w:customStyle="1" w:styleId="14">
    <w:name w:val="批注主题 字符1"/>
    <w:link w:val="ad"/>
    <w:qFormat/>
    <w:rPr>
      <w:rFonts w:ascii="Times New Roman" w:eastAsia="宋体" w:hAnsi="Times New Roman" w:cs="Times New Roman"/>
      <w:b/>
      <w:bCs/>
      <w:szCs w:val="24"/>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paragraph" w:customStyle="1" w:styleId="15">
    <w:name w:val="修订1"/>
    <w:hidden/>
    <w:uiPriority w:val="99"/>
    <w:semiHidden/>
    <w:qFormat/>
    <w:rPr>
      <w:rFonts w:ascii="Times New Roman" w:eastAsia="宋体" w:hAnsi="Times New Roman" w:cs="Times New Roman"/>
      <w:kern w:val="2"/>
      <w:sz w:val="21"/>
      <w:szCs w:val="24"/>
    </w:rPr>
  </w:style>
  <w:style w:type="character" w:customStyle="1" w:styleId="Char11">
    <w:name w:val="批注文字 Char1"/>
    <w:basedOn w:val="a1"/>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47BD-871D-4EB8-BBD4-3376D08C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5381</Words>
  <Characters>30672</Characters>
  <Application>Microsoft Office Word</Application>
  <DocSecurity>0</DocSecurity>
  <Lines>255</Lines>
  <Paragraphs>71</Paragraphs>
  <ScaleCrop>false</ScaleCrop>
  <Company>神州网信技术有限公司</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陈岚</dc:creator>
  <cp:lastModifiedBy>肖泽菁</cp:lastModifiedBy>
  <cp:revision>30</cp:revision>
  <cp:lastPrinted>2024-02-06T08:33:00Z</cp:lastPrinted>
  <dcterms:created xsi:type="dcterms:W3CDTF">2024-01-22T02:58:00Z</dcterms:created>
  <dcterms:modified xsi:type="dcterms:W3CDTF">2026-01-08T10:31:00Z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eyJoZGlkIjoiNDUwMTFkMDI3ZjBmZjczM2Q3M2EwOGI5M2VjYzUzMDkiLCJ1c2VySWQiOiIxNzY1OTE0NzE0In0=</vt:lpwstr>
  </property>
  <property fmtid="{D5CDD505-2E9C-101B-9397-08002B2CF9AE}" pid="3" name="KSOProductBuildVer">
    <vt:lpwstr>2052-12.1.0.24034</vt:lpwstr>
  </property>
  <property fmtid="{D5CDD505-2E9C-101B-9397-08002B2CF9AE}" pid="4" name="ICV">
    <vt:lpwstr>BAE379F31AED475D9777B966307F8993_12</vt:lpwstr>
  </property>
</Properties>
</file>